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TKG 2004 — Funktionelle Trennung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Gelangt die Bundesnetzagentur zu dem Schluss, dass die nach den Abschnitten 2 und 3 auferlegten angemessenen Verpflichtungen nicht zu einem wirksamen Wettbewerb geführt haben und wichtige und andauernde Wettbewerbsprobleme oder Marktversagen auf den Märkten für bestimmte Zugangsprodukte auf Vorleistungsebene bestehen, so kann sie als außerordentliche Maßnahme vertikal integrierten Unternehmen die Verpflichtung auferlegen, ihre Tätigkeiten im Zusammenhang mit der Bereitstellung der betreffenden Zugangsprodukte auf Vorleistungsebene in einem unabhängig arbeitenden Geschäftsbereich unterzubringen. Dieser Geschäftsbereich stellt Zugangsprodukte und -dienste allen Unternehmen, einschließlich der anderen Geschäftsbereiche des eigenen Mutterunternehmens, mit den gleichen Fristen und zu den gleichen Bedingungen, auch im Hinblick auf Preise und Dienstumfang, sowie mittels der gleichen Systeme und Verfahren zur Verfügung.</w:t>
      </w:r>
    </w:p>
    <w:p>
      <w:r>
        <w:t xml:space="preserve">(2) Beabsichtigt die Bundesnetzagentur, eine Verpflichtung nach Absatz 1 aufzuerlegen, so unterbreitet sie der Kommission einen entsprechenden Antrag, der Folgendes umfasst:</w:t>
      </w:r>
    </w:p>
    <w:p>
      <w:pPr>
        <w:ind w:left="420"/>
      </w:pPr>
      <w:r>
        <w:t xml:space="preserve">1. den Nachweis, dass die in Absatz 1 genannte Schlussfolgerung der Bundesnetzagentur begründet ist;</w:t>
      </w:r>
    </w:p>
    <w:p>
      <w:pPr>
        <w:ind w:left="420"/>
      </w:pPr>
      <w:r>
        <w:t xml:space="preserve">2. eine mit Gründen versehene Einschätzung, dass keine oder nur geringe Aussichten dafür bestehen, dass es innerhalb eines angemessenen Zeitrahmens einen wirksamen und nachhaltigen Wettbewerb im Bereich Infrastruktur gibt;</w:t>
      </w:r>
    </w:p>
    <w:p>
      <w:pPr>
        <w:ind w:left="420"/>
      </w:pPr>
      <w:r>
        <w:t xml:space="preserve">3. eine Analyse der erwarteten Auswirkungen auf die Bundesnetzagentur, auf das Unternehmen, insbesondere auf das Personal des getrennten Unternehmens und auf den Telekommunikationssektor insgesamt, auf die Anreize, in den Sektor insgesamt zu investieren, insbesondere im Hinblick auf die notwendige Wahrung des sozialen und territorialen Zusammenhalts, sowie auf sonstige Interessengruppen, insbesondere auch eine Analyse der erwarteten Auswirkungen auf den Wettbewerb und möglicher Folgen für die Verbraucher;</w:t>
      </w:r>
    </w:p>
    <w:p>
      <w:pPr>
        <w:ind w:left="420"/>
      </w:pPr>
      <w:r>
        <w:t xml:space="preserve">4. eine Analyse der Gründe, die dafür sprechen, dass diese Verpflichtung das effizienteste Mittel zur Durchsetzung von Abhilfemaßnahmen wäre, mit denen auf festgestellte Wettbewerbsprobleme oder Fälle von Marktversagen reagiert werden soll.</w:t>
      </w:r>
    </w:p>
    <w:p>
      <w:r>
        <w:t xml:space="preserve">(3) Der der Kommission mit dem Antrag nach Absatz 2 vorzulegende Maßnahmenentwurf umfasst Folgendes:</w:t>
      </w:r>
    </w:p>
    <w:p>
      <w:pPr>
        <w:ind w:left="420"/>
      </w:pPr>
      <w:r>
        <w:t xml:space="preserve">1. die genaue Angabe von Art und Ausmaß der Trennung, insbesondere die Angabe des rechtlichen Status des getrennten Geschäftsbereichs;</w:t>
      </w:r>
    </w:p>
    <w:p>
      <w:pPr>
        <w:ind w:left="420"/>
      </w:pPr>
      <w:r>
        <w:t xml:space="preserve">2. die Angabe der Vermögenswerte des getrennten Geschäftsbereichs sowie der von diesem bereitzustellenden Produkte und Dienstleistungen;</w:t>
      </w:r>
    </w:p>
    <w:p>
      <w:pPr>
        <w:ind w:left="420"/>
      </w:pPr>
      <w:r>
        <w:t xml:space="preserve">3. die organisatorischen Modalitäten zur Gewährleistung der Unabhängigkeit des Personals des getrennten Geschäftsbereichs sowie die entsprechenden Anreize;</w:t>
      </w:r>
    </w:p>
    <w:p>
      <w:pPr>
        <w:ind w:left="420"/>
      </w:pPr>
      <w:r>
        <w:t xml:space="preserve">4. die Vorschriften zur Gewährleistung der Einhaltung der Verpflichtungen;</w:t>
      </w:r>
    </w:p>
    <w:p>
      <w:pPr>
        <w:ind w:left="420"/>
      </w:pPr>
      <w:r>
        <w:t xml:space="preserve">5. die Vorschriften zur Gewährleistung der Transparenz der betrieblichen Verfahren, insbesondere gegenüber den anderen Interessengruppen;</w:t>
      </w:r>
    </w:p>
    <w:p>
      <w:pPr>
        <w:ind w:left="420"/>
      </w:pPr>
      <w:r>
        <w:t xml:space="preserve">6. ein Überwachungsprogramm, mit dem die Einhaltung der Verpflichtung sichergestellt wird und das unter anderem die Veröffentlichung eines jährlichen Berichts beinhaltet.</w:t>
      </w:r>
    </w:p>
    <w:p>
      <w:r>
        <w:t xml:space="preserve">(4) Im Anschluss an die Entscheidung der Kommission über den Antrag führt die Bundesnetzagentur nach den §§ 10 und 11 eine koordinierte Analyse der Märkte durch, bei denen eine Verbindung zum Anschlussnetz besteht. Auf der Grundlage ihrer Bewertung erlegt die Bundesnetzagentur nach § 13 Verpflichtungen auf, behält Verpflichtungen bei, ändert sie oder hebt sie auf.</w:t>
      </w:r>
    </w:p>
    <w:p>
      <w:r>
        <w:t xml:space="preserve">(5) Einem Unternehmen, dem die funktionelle Trennung auferlegt wurde, kann auf jedem Einzelmarkt, auf dem es als Unternehmen mit beträchtlicher Marktmacht nach § 11 eingestuft wurde, jede der Verpflichtungen nach den §§ 19, 20, 21, 23, 24, 30, 39 oder § 42 Absatz 4 Satz 3 auferlegt werden.</w:t>
      </w:r>
    </w:p>
    <w:p>
      <w:r>
        <w:rPr>
          <w:color w:val="555555"/>
          <w:sz w:val="17"/>
        </w:rPr>
        <w:t xml:space="preserve">Zitiervorschlag: § 40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