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TKG 2004 — Entgeltgenehmigung</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Die Bundesnetzagentur genehmigt Entgelte nach § 30 Absatz 1 Satz 1 oder Absatz 2 Satz 2</w:t>
      </w:r>
    </w:p>
    <w:p>
      <w:pPr>
        <w:ind w:left="420"/>
      </w:pPr>
      <w:r>
        <w:t xml:space="preserve">1. auf der Grundlage der auf die einzelnen Dienste entfallenden Kosten der effizienten Leistungsbereitstellung nach § 32 oder</w:t>
      </w:r>
    </w:p>
    <w:p>
      <w:pPr>
        <w:ind w:left="420"/>
      </w:pPr>
      <w:r>
        <w:t xml:space="preserve">2. auf der Grundlage der von ihr vorgegebenen Maßgrößen für die durchschnittlichen Änderungsraten der Entgelte für einen Korb zusammengefasster Dienste (Price-Cap-Verfahren) nach Maßgabe des § 33.</w:t>
      </w:r>
    </w:p>
    <w:p>
      <w:r>
        <w:t xml:space="preserve">Genehmigte Entgelte dürfen die Summe der Kosten der effizienten Leistungsbereitstellung und der Aufwendungen nach § 32 Absatz 2 nicht überschreiten.</w:t>
      </w:r>
    </w:p>
    <w:p>
      <w:r>
        <w:t xml:space="preserve">(2) Abweichend von Absatz 1 genehmigt die Bundesnetzagentur Entgelte</w:t>
      </w:r>
    </w:p>
    <w:p>
      <w:pPr>
        <w:ind w:left="420"/>
      </w:pPr>
      <w:r>
        <w:t xml:space="preserve">1. für Zugangsleistungen zu bestimmten, von einem Betreiber eines öffentlichen Telekommunikationsnetzes, der über beträchtliche Marktmacht verfügt, angebotenen Diensten zu Großhandelsbedingungen, die Dritten den Weitervertrieb im eigenen Namen und auf eigene Rechnung ermöglichen sollen, durch Gewährung eines Abschlags auf den Endnutzerpreis, der es einem effizienten Anbieter von Telekommunikationsdiensten ermöglicht, eine angemessene Verzinsung des eingesetzten Kapitals auf dem Endnutzermarkt zu erzielen; das Entgelt entspricht dabei mindestens den Kosten der effizienten Leistungsbereitstellung; oder</w:t>
      </w:r>
    </w:p>
    <w:p>
      <w:pPr>
        <w:ind w:left="420"/>
      </w:pPr>
      <w:r>
        <w:t xml:space="preserve">2. auf der Grundlage anderer Vorgehensweisen, sofern die Vorgehensweisen nach den Nummern 1 oder 2 besser als die in Absatz 1 genannten Vorgehensweisen geeignet sind, die Regulierungsziele nach § 2 zu erreichen. Im Fall von Satz 1 Nummer 2 gilt bei der Anwendung kostenorientierter Vorgehensweisen § 32 Absatz 2 und 3 entsprechend. Ein Vorgehen nach Satz 1 Nummer 2 ist besonders zu begründen.</w:t>
      </w:r>
    </w:p>
    <w:p>
      <w:r>
        <w:t xml:space="preserve">(3) Genehmigungsbedürftige Entgelte für Zugangsleistungen des Betreibers eines öffentlichen Telekommunikationsnetzes, der über beträchtliche Marktmacht verfügt, sind der Bundesnetzagentur einschließlich aller für die Genehmigungserteilung erforderlichen Unterlagen vor dem beabsichtigten Inkrafttreten vorzulegen. Bei befristet erteilten Genehmigungen hat die Vorlage mindestens zehn Wochen vor Fristablauf zu erfolgen.</w:t>
      </w:r>
    </w:p>
    <w:p>
      <w:r>
        <w:t xml:space="preserve">(4) Die Bundesnetzagentur kann dazu auffordern, Entgeltgenehmigungsanträge zu stellen. Wird der Aufforderung nicht innerhalb eines Monats nach Zugang Folge geleistet, leitet die Bundesnetzagentur ein Verfahren von Amts wegen ein. Die Bundesnetzagentur soll über Entgeltanträge in der Regel innerhalb von zehn Wochen nach Eingang der Entgeltvorlage oder nach Einleitung des Verfahrens von Amts wegen entscheiden. Abweichend von Satz 3 soll die Bundesnetzagentur über Entgeltanträge, die im Rahmen des Verfahrens nach § 33 vorgelegt worden sind, innerhalb von zwei Wochen entscheiden.</w:t>
      </w:r>
    </w:p>
    <w:p>
      <w:r>
        <w:rPr>
          <w:color w:val="555555"/>
          <w:sz w:val="17"/>
        </w:rPr>
        <w:t xml:space="preserve">Zitiervorschlag: § 31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