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TKG 2004 — Entgeltregulierung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Einer Genehmigung durch die Bundesnetzagentur nach Maßgabe des § 31 unterliegen Entgelte für nach § 21 auferlegte Zugangsleistungen von Betreibern öffentlicher Telekommunikationsnetze, die über beträchtliche Marktmacht verfügen. Abweichend von Satz 1 kann die Bundesnetzagentur solche Entgelte einer nachträglichen Regulierung nach § 38 oder nach § 38 Absatz 2 bis 4 unterwerfen, wenn dies ausreicht, um die Regulierungsziele nach § 2 zu erreichen.</w:t>
      </w:r>
    </w:p>
    <w:p>
      <w:r>
        <w:t xml:space="preserve">(2) Einer nachträglichen Regulierung nach § 38 Absatz 2 bis 4 unterliegen:</w:t>
      </w:r>
    </w:p>
    <w:p>
      <w:pPr>
        <w:ind w:left="420"/>
      </w:pPr>
      <w:r>
        <w:t xml:space="preserve">1. Entgelte, die ein Betreiber im Rahmen von Verpflichtungen nach § 18 verlangt, sowie</w:t>
      </w:r>
    </w:p>
    <w:p>
      <w:pPr>
        <w:ind w:left="420"/>
      </w:pPr>
      <w:r>
        <w:t xml:space="preserve">2. Entgelte eines Betreibers, der über beträchtliche Marktmacht verfügt, für andere als in Absatz 1 Satz 1 genannte Zugangsleistungen.</w:t>
      </w:r>
    </w:p>
    <w:p>
      <w:r>
        <w:t xml:space="preserve">Abweichend von Satz 1 kann die Bundesnetzagentur solche Entgelte einer nachträglichen Regulierung nach § 38 oder einer Genehmigung nach Maßgabe des § 31 unterwerfen, wenn dies erforderlich ist, um die Regulierungsziele nach § 2 zu erreichen oder im Fall von Satz 1 Nummer 1 den End-zu-End-Verbund von Diensten zu gewährleisten.</w:t>
      </w:r>
    </w:p>
    <w:p>
      <w:r>
        <w:t xml:space="preserve">(3) Die Bundesnetzagentur stellt bei der Regulierung von Entgelten sicher, dass alle Entgelte die wirtschaftliche Effizienz und einen nachhaltigen Wettbewerb fördern und für die Verbraucher nicht nur kurzfristig, sondern auch mittel- und langfristig möglichst vorteilhaft sind. Sie berücksichtigt bei der Regulierung von Entgelten die zugrunde liegenden Investitionen und ermöglicht eine angemessene Verzinsung des eingesetzten Kapitals. Bei Netzen der nächsten Generation trägt sie dabei den etwaigen spezifischen Investitionsrisiken unter weitestgehender Beachtung vereinbarter Risikobeteiligungsmodelle Rechnung.</w:t>
      </w:r>
    </w:p>
    <w:p>
      <w:r>
        <w:t xml:space="preserve">(4) (weggefallen)</w:t>
      </w:r>
    </w:p>
    <w:p>
      <w:r>
        <w:t xml:space="preserve">(5) (weggefallen)</w:t>
      </w:r>
    </w:p>
    <w:p>
      <w:r>
        <w:rPr>
          <w:color w:val="555555"/>
          <w:sz w:val="17"/>
        </w:rPr>
        <w:t xml:space="preserve">Zitiervorschlag: § 30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