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TKG 2004 — Anordnungen im Rahmen der Entgeltregulierung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im Rahmen oder zur Vorbereitung von Verfahren der Entgeltregulierung anordnen, dass</w:t>
      </w:r>
    </w:p>
    <w:p>
      <w:pPr>
        <w:ind w:left="420"/>
      </w:pPr>
      <w:r>
        <w:t xml:space="preserve">1. ihr von einem Unternehmen mit beträchtlicher Marktmacht detaillierte Angaben zum Leistungsangebot, zum aktuellen und erwarteten Umsatz für Dienstleistungen, zu den aktuellen und erwarteten Absatzmengen und Kosten, zu den voraussehbaren Auswirkungen auf die Endnutzer sowie auf die Wettbewerber und sonstige Unterlagen und Angaben zur Verfügung gestellt werden, die sie zur sachgerechten Ausübung ihres Entgeltregulierungsrechts auf Grund dieses Gesetzes für erforderlich hält und</w:t>
      </w:r>
    </w:p>
    <w:p>
      <w:pPr>
        <w:ind w:left="420"/>
      </w:pPr>
      <w:r>
        <w:t xml:space="preserve">2. ein Unternehmen mit beträchtlicher Marktmacht die Kostenrechnung in einer Form ausgestaltet, die es der Bundesnetzagentur ermöglicht, die für die Entgeltregulierung auf Grund dieses Gesetzes notwendigen Daten zu erlangen.</w:t>
      </w:r>
    </w:p>
    <w:p>
      <w:r>
        <w:t xml:space="preserve">Die Bundesnetzagentur kann zusätzlich die Übermittlung der Unterlagen nach den Nummern 1 und 2 auf Datenträgern anordnen. Das Unternehmen hat die Übereinstimmung mit den schriftlichen Unterlagen zu versichern.</w:t>
      </w:r>
    </w:p>
    <w:p>
      <w:r>
        <w:t xml:space="preserve">(2) Die Bundesnetzagentur kann einem Unternehmen mit beträchtlicher Marktmacht Verpflichtungen in Bezug auf Kostenrechnungsmethoden erteilen. In diesem Fall kann sie das Unternehmen mit beträchtlicher Marktmacht verpflichten, eine Beschreibung der den Auflagen entsprechenden Kostenrechnungsmethode öffentlich verfügbar zu machen, in der mindestens die wichtigsten Kostenarten und die Regeln der Kostenzuweisung aufgeführt werden, sofern sie nicht selbst eine entsprechende Veröffentlichung vornimmt. Die Anwendung der Kostenrechnungsmethode wird von der Bundesnetzagentur überprüft; diese kann auch eine unabhängige Stelle mit der Überprüfung beauftragen. Das Prüfergebnis wird einmal jährlich veröffentlicht.</w:t>
      </w:r>
    </w:p>
    <w:p>
      <w:r>
        <w:t xml:space="preserve">(3) Die Bundesnetzagentur kann ein Unternehmen mit beträchtlicher Marktmacht durch gesonderte Entscheidung verpflichten, Zugang unter bestimmten Tarifsystemen anzubieten und bestimmte Kostendeckungsmechanismen anzuwenden, soweit dies erforderlich ist, um die Regulierungsziele nach § 2 zu erreichen. Die Bundesnetzagentur hat bei Auferlegung dieser Verpflichtungen sicherzustellen, dass die wirtschaftliche Effizienz und ein nachhaltiger Wettbewerb gefördert wird und die Verpflichtungen möglichst vorteilhaft für den Endnutzer sind. Trifft die Bundesnetzagentur eine Entscheidung nach Satz 1, hat der Anbieter mit beträchtlicher Marktmacht innerhalb von zwei Wochen einen entsprechenden Entgeltantrag vorzulegen. Die Bundesnetzagentur entscheidet nach Vorlage des Antrags oder nach Ablauf der Frist innerhalb von vier Wochen.</w:t>
      </w:r>
    </w:p>
    <w:p>
      <w:r>
        <w:t xml:space="preserve">(4) Zur Durchsetzung der Anordnungen nach den Absätzen 1 und 2 kann nach Maßgabe des Verwaltungsvollstreckungsgesetzes ein Zwangsgeld bis zu einer Million Euro festgesetzt werden.</w:t>
      </w:r>
    </w:p>
    <w:p>
      <w:r>
        <w:t xml:space="preserve">(5) Die Bundesnetzagentur kann vorschreiben, in welcher Form ein Entgelt oder eine Entgeltänderung einschließlich der Leistungsbeschreibung und sonstiger entgeltrelevanter Bestandteile zu veröffentlichen ist.</w:t>
      </w:r>
    </w:p>
    <w:p>
      <w:r>
        <w:t xml:space="preserve">(6) Die Bundesnetzagentur kann auch von Unternehmen, die nicht über beträchtliche Marktmacht verfügen, Angaben nach Absatz 1 Nr. 1 verlangen sowie nach Absatz 4 vorgehen, wenn dies zur sachgerechten Ausübung der Entgeltregulierung nach diesem Teil erforderlich ist.</w:t>
      </w:r>
    </w:p>
    <w:p>
      <w:r>
        <w:rPr>
          <w:color w:val="555555"/>
          <w:sz w:val="17"/>
        </w:rPr>
        <w:t xml:space="preserve">Zitiervorschlag: § 29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