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TKG 2004 — Ziel der Entgeltregulierung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Ziel der Entgeltregulierung ist es, eine missbräuchliche Ausbeutung, Behinderung oder Diskriminierung von Endnutzern oder von Wettbewerbern durch preispolitische Maßnahmen von Unternehmen mit beträchtlicher Marktmacht zu verhindern.</w:t>
      </w:r>
    </w:p>
    <w:p>
      <w:r>
        <w:t xml:space="preserve">(2) Die Bundesnetzagentur hat darauf zu achten, dass Entgeltregulierungsmaßnahmen in ihrer Gesamtheit aufeinander abgestimmt sind (Konsistenzgebot). Die Bundesnetzagentur nimmt insbesondere eine zeitliche und inhaltliche Abstimmung ihrer Entgeltregulierungsmaßnahmen vor, und sie prüft bei den jeweiligen Entgeltregulierungsmaßnahmen, ob diese in einem angemessenen Verhältnis zu den Zielen nach § 2 stehen.</w:t>
      </w:r>
    </w:p>
    <w:p>
      <w:r>
        <w:t xml:space="preserve">(3) Die Bundesnetzagentur hat, soweit Belange von Rundfunk und vergleichbaren Telemedien nach § 2 Absatz 6 Satz 1 betroffen sind, die zuständige Landesmedienanstalt hierüber zu informieren und an eingeleiteten Verfahren zu beteiligen. Auf Antrag der zuständigen Landesmedienanstalt prüft die Bundesnetzagentur auf der Grundlage dieses Gesetzes die Einleitung eines Verfahrens und die Anordnung von Maßnahmen nach den folgenden Bestimmungen.</w:t>
      </w:r>
    </w:p>
    <w:p>
      <w:r>
        <w:rPr>
          <w:color w:val="555555"/>
          <w:sz w:val="17"/>
        </w:rPr>
        <w:t xml:space="preserve">Zitiervorschlag: § 27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