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TKG 2004 — Veröffentlichung</w:t>
      </w:r>
    </w:p>
    <w:p>
      <w:r>
        <w:rPr>
          <w:color w:val="555555"/>
          <w:sz w:val="18"/>
        </w:rPr>
        <w:t xml:space="preserve">Telekommunikationsgesetz</w:t>
      </w:r>
    </w:p>
    <w:p>
      <w:r>
        <w:rPr>
          <w:color w:val="555555"/>
          <w:sz w:val="18"/>
        </w:rPr>
        <w:t xml:space="preserve">Historische Fassung: Stand 10.06.2019 bis 01.12.2021. Dies ist nicht die aktuelle Fassung.</w:t>
      </w:r>
    </w:p>
    <w:p>
      <w:r>
        <w:t xml:space="preserve">Die Bundesnetzagentur veröffentlicht die nach diesem Abschnitt getroffenen Maßnahmen unter Wahrung von Betriebs- oder Geschäftsgeheimnissen der betroffenen Unternehmen.</w:t>
      </w:r>
    </w:p>
    <w:p>
      <w:r>
        <w:rPr>
          <w:color w:val="555555"/>
          <w:sz w:val="17"/>
        </w:rPr>
        <w:t xml:space="preserve">Zitiervorschlag: § 26 TKG 2004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https://recht.nulegal.eu/gesetze/TKG%202004/26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