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TKG 2004 — Getrennte Rechnungsführung</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Die Bundesnetzagentur kann einem Betreiber eines öffentlichen Telekommunikationsnetzes, der über beträchtliche Marktmacht verfügt, für bestimmte Tätigkeiten im Zusammenhang mit Zugangsleistungen eine getrennte Rechnungsführung vorschreiben. Die Bundesnetzagentur verlangt insbesondere von einem vertikal integrierten Unternehmen in der Regel, seine Vorleistungspreise und seine internen Verrechnungspreise transparent zu gestalten. Damit sollen unter anderem Verstöße gegen das Diskriminierungsverbot und unzulässige Quersubventionen verhindert werden. Die Bundesnetzagentur kann dabei konkrete Vorgaben zu dem zu verwendenden Format sowie zu der zu verwendenden Rechnungsführungsmethode machen.</w:t>
      </w:r>
    </w:p>
    <w:p>
      <w:r>
        <w:t xml:space="preserve">(2) Die Bundesnetzagentur kann verlangen, dass ihr die Kostenrechnungs- und Buchungsunterlagen nach Absatz 1 einschließlich sämtlicher damit zusammenhängender Informationen und Dokumente auf Anforderung in vorgeschriebener Form vorgelegt werden. Die Bundesnetzagentur kann diese Informationen in geeigneter Form veröffentlichen, soweit dies zur Erreichung der in § 2 genannten Ziele beiträgt. Dabei sind die Bestimmungen zur Wahrung von Geschäfts- oder Betriebsgeheimnissen zu beachten.</w:t>
      </w:r>
    </w:p>
    <w:p>
      <w:r>
        <w:rPr>
          <w:color w:val="555555"/>
          <w:sz w:val="17"/>
        </w:rPr>
        <w:t xml:space="preserve">Zitiervorschlag: § 24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