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TKG 2004 — Standardangebot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einen Betreiber eines öffentlichen Telekommunikationsnetzes, der über beträchtliche Marktmacht verfügt, verpflichten, in der Regel innerhalb von drei Monaten ein Standardangebot für die Zugangsleistung zu veröffentlichen, für die eine allgemeine Nachfrage besteht.</w:t>
      </w:r>
    </w:p>
    <w:p>
      <w:r>
        <w:t xml:space="preserve">(2) Soweit ein Betreiber eines öffentlichen Telekommunikationsnetzes mit beträchtlicher Marktmacht kein oder ein nach Absatz 1 unzureichendes Standardangebot vorlegt, ermittelt die Bundesnetzagentur, für welche Zugangsleistungen eine allgemeine Nachfrage besteht. Zu diesem Zweck gibt die Bundesnetzagentur tatsächlichen oder potentiellen Nachfragern nach solchen Leistungen Gelegenheit zur Stellungnahme. Im Anschluss daran gibt sie dem Betreiber mit beträchtlicher Marktmacht Gelegenheit zur Stellungnahme dazu, welche der ermittelten Leistungen nach seiner Ansicht Bestandteil eines Standardangebots werden sollen.</w:t>
      </w:r>
    </w:p>
    <w:p>
      <w:r>
        <w:t xml:space="preserve">(3) Die Bundesnetzagentur soll innerhalb einer Frist von vier Monaten unter Berücksichtigung der Stellungnahmen nach Absatz 2 die Zugangsleistungen festlegen, die der Betreiber mit beträchtlicher Marktmacht als Standardangebot anbieten muss. Die Bundesnetzagentur fordert den Betreiber auf, innerhalb einer bestimmten Frist ein entsprechendes Standardangebot mit Bereitstellungs- und Nutzungsbedingungen einschließlich der Entgelte vorzulegen. Sie kann diese Aufforderung verbinden mit bestimmten Vorgaben für einzelne Bedingungen, einschließlich Vertragsstrafen, insbesondere in Bezug auf Chancengleichheit, Billigkeit und Rechtzeitigkeit. Dieses Standardangebot muss so umfassend sein, dass es von den einzelnen Nachfragern ohne weitere Verhandlungen angenommen werden kann. Die vorgenannten Sätze gelten auch für den Fall, dass der Betreiber mit beträchtlicher Marktmacht ein unzureichendes Standardangebot vorgelegt hat.</w:t>
      </w:r>
    </w:p>
    <w:p>
      <w:r>
        <w:t xml:space="preserve">(4) Die Bundesnetzagentur prüft die vorgelegten Standardangebote und nimmt Veränderungen vor, soweit Vorgaben für einzelne Bedingungen, einschließlich Vertragsstrafen, insbesondere in Bezug auf Chancengleichheit, Billigkeit und Rechtzeitigkeit nicht umgesetzt wurden. Die Bundesnetzagentur versieht Standardangebote in der Regel mit einer Mindestlaufzeit. Der Betreiber mit beträchtlicher Marktmacht muss beabsichtigte Änderungen oder eine Einstellung des Standardangebots drei Monate vor Ablauf der Mindestlaufzeit gegenüber der Bundesnetzagentur anzeigen. Die Entscheidungen nach Absatz 3 und 4 Satz 1 und 2 können nur insgesamt angegriffen werden. Für die Regulierung der Entgelte gelten die §§ 27 bis 37.</w:t>
      </w:r>
    </w:p>
    <w:p>
      <w:r>
        <w:t xml:space="preserve">(5) Sofern eine Zugangsleistung bereits Gegenstand einer Zugangsvereinbarung nach § 22 ist, kann die Bundesnetzagentur den Betreiber eines öffentlichen Telekommunikationsnetzes, der über beträchtliche Marktmacht verfügt, verpflichten, diese Zugangsleistung als Standardangebot auch anderen Nachfragern diskriminierungsfrei anzubieten, wenn zu erwarten ist, dass für diese Zugangsleistung eine allgemeine Nachfrage entstehen wird. Dies gilt auch für Zugangsleistungen, zu deren Erbringung ein Betreiber eines öffentlichen Telekommunikationsnetzes, der über beträchtliche Marktmacht verfügt, im Rahmen einer Anordnung nach § 25 verpflichtet worden ist.</w:t>
      </w:r>
    </w:p>
    <w:p>
      <w:r>
        <w:t xml:space="preserve">(6) Die Bundesnetzagentur kann einen Betreiber eines öffentlichen Telekommunikationsnetzes, der über beträchtliche Marktmacht verfügt, verpflichten, eine Änderung des Standardangebots vorzunehmen, wenn sich die allgemeine Nachfrage wesentlich geändert hat. Dies kann sich sowohl auf die Leistungen selbst als auch auf wesentliche Bedingungen für deren Erbringung beziehen. Für die Änderung des Standardangebots gelten die Absätze 2 bis 5 entsprechend.</w:t>
      </w:r>
    </w:p>
    <w:p>
      <w:r>
        <w:t xml:space="preserve">(7) Hat die Bundesnetzagentur einem Betreiber eines öffentlichen Telekommunikationsnetzes, der über beträchtliche Marktmacht verfügt, Verpflichtungen nach § 21 hinsichtlich des Zugangs zur Netzinfrastruktur auf Vorleistungsebene auferlegt, so stellt sie sicher, dass der Betreiber ein Standardangebot veröffentlicht, das mindestens die in Anhang II der Richtlinie 2002/19/EG genannten Komponenten umfasst. § 20 bleibt unberührt.</w:t>
      </w:r>
    </w:p>
    <w:p>
      <w:r>
        <w:t xml:space="preserve">(8) Der Betreiber ist verpflichtet, das Standardangebot in seine Allgemeinen Geschäftsbedingungen aufzunehmen.</w:t>
      </w:r>
    </w:p>
    <w:p>
      <w:r>
        <w:rPr>
          <w:color w:val="555555"/>
          <w:sz w:val="17"/>
        </w:rPr>
        <w:t xml:space="preserve">Zitiervorschlag: § 23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