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TKG 2004 — Zugangsverpflichtungen</w:t>
      </w:r>
    </w:p>
    <w:p>
      <w:r>
        <w:rPr>
          <w:color w:val="555555"/>
          <w:sz w:val="18"/>
        </w:rPr>
        <w:t xml:space="preserve">Telekommunikationsgesetz</w:t>
      </w:r>
    </w:p>
    <w:p>
      <w:r>
        <w:rPr>
          <w:color w:val="555555"/>
          <w:sz w:val="18"/>
        </w:rPr>
        <w:t xml:space="preserve">Historische Fassung: Stand 10.06.2019 bis 01.12.2021. Dies ist nicht die aktuelle Fassung.</w:t>
      </w:r>
    </w:p>
    <w:p>
      <w:r>
        <w:t xml:space="preserve">(1) Die Bundesnetzagentur kann auf Antrag oder von Amts wegen Betreiber öffentlicher Telekommunikationsnetze, die über beträchtliche Marktmacht verfügen, verpflichten, anderen Unternehmen Zugang nach Maßgabe dieser Vorschrift zu gewähren einschließlich einer nachfragegerechten Entbündelung, insbesondere wenn anderenfalls die Entwicklung eines nachhaltig wettbewerbsorientierten nachgelagerten Endnutzermarktes behindert oder diese Entwicklung den Interessen der Endnutzer zuwiderlaufen würde. Bei der Prüfung, ob und welche Zugangsverpflichtungen gerechtfertigt sind und ob diese in einem angemessenen Verhältnis zu den Regulierungszielen nach § 2 stehen, hat die Bundesnetzagentur insbesondere zu berücksichtigen:</w:t>
      </w:r>
    </w:p>
    <w:p>
      <w:pPr>
        <w:ind w:left="420"/>
      </w:pPr>
      <w:r>
        <w:t xml:space="preserve">1. die technische und wirtschaftliche Tragfähigkeit der Nutzung oder Installation konkurrierender Einrichtungen angesichts des Tempos der Marktentwicklung, wobei die Art und der Typ der Zusammenschaltung und des Zugangs berücksichtigt werden einschließlich der Tragfähigkeit anderer vorgelagerter Zugangsprodukte, wie etwa der Zugang zu Leitungsrohren,</w:t>
      </w:r>
    </w:p>
    <w:p>
      <w:pPr>
        <w:ind w:left="420"/>
      </w:pPr>
      <w:r>
        <w:t xml:space="preserve">2. die Möglichkeit der Gewährung des vorgeschlagenen Zugangs angesichts der verfügbaren Kapazität,</w:t>
      </w:r>
    </w:p>
    <w:p>
      <w:pPr>
        <w:ind w:left="420"/>
      </w:pPr>
      <w:r>
        <w:t xml:space="preserve">3. die Anfangsinvestitionen des Eigentümers der Einrichtung unter Berücksichtigung etwaiger getätigter öffentlicher Investitionen und der Investitionsrisiken,</w:t>
      </w:r>
    </w:p>
    <w:p>
      <w:pPr>
        <w:ind w:left="420"/>
      </w:pPr>
      <w:r>
        <w:t xml:space="preserve">4. die Notwendigkeit zur langfristigen Sicherung des Wettbewerbs, unter besonderer Berücksichtigung eines wirtschaftlich effizienten Wettbewerbs im Bereich der Infrastruktur, unter anderem durch Anreize zu effizienten Investitionen in Infrastruktureinrichtungen, die langfristig einen stärkeren Wettbewerb sichern,</w:t>
      </w:r>
    </w:p>
    <w:p>
      <w:pPr>
        <w:ind w:left="420"/>
      </w:pPr>
      <w:r>
        <w:t xml:space="preserve">5. gewerbliche Schutzrechte oder Rechte an geistigem Eigentum,</w:t>
      </w:r>
    </w:p>
    <w:p>
      <w:pPr>
        <w:ind w:left="420"/>
      </w:pPr>
      <w:r>
        <w:t xml:space="preserve">6. die Bereitstellung europaweiter Dienste und</w:t>
      </w:r>
    </w:p>
    <w:p>
      <w:pPr>
        <w:ind w:left="420"/>
      </w:pPr>
      <w:r>
        <w:t xml:space="preserve">7. ob bereits auferlegte Verpflichtungen nach diesem Teil oder freiwillige Angebote am Markt, die von einem großen Teil des Marktes angenommen werden, zur Sicherstellung der in § 2 genannten Regulierungsziele ausreichen.</w:t>
      </w:r>
    </w:p>
    <w:p>
      <w:r>
        <w:t xml:space="preserve">(2) Die Bundesnetzagentur kann Betreiber öffentlicher Telekommunikationsnetze, die über beträchtliche Marktmacht verfügen, unter Beachtung von Absatz 1 unter anderem verpflichten,</w:t>
      </w:r>
    </w:p>
    <w:p>
      <w:pPr>
        <w:ind w:left="420"/>
      </w:pPr>
      <w:r>
        <w:t xml:space="preserve">1. Zugang zu bestimmten Netzkomponenten oder -einrichtungen einschließlich des entbündelten Breitbandzugangs zu gewähren,</w:t>
      </w:r>
    </w:p>
    <w:p>
      <w:pPr>
        <w:ind w:left="420"/>
      </w:pPr>
      <w:r>
        <w:t xml:space="preserve">2. bereits gewährten Zugang zu Einrichtungen nicht nachträglich zu verweigern,</w:t>
      </w:r>
    </w:p>
    <w:p>
      <w:pPr>
        <w:ind w:left="420"/>
      </w:pPr>
      <w:r>
        <w:t xml:space="preserve">3. Zugang zu bestimmten vom Betreiber angebotenen Diensten, wie sie Endnutzern angeboten werden, zu Großhandelsbedingungen zu gewähren, um Dritten den Weitervertrieb im eigenen Namen und auf eigene Rechnung zu ermöglichen. Hierbei sind die getätigten und zukünftigen Investitionen für innovative Dienste zu berücksichtigen,</w:t>
      </w:r>
    </w:p>
    <w:p>
      <w:pPr>
        <w:ind w:left="420"/>
      </w:pPr>
      <w:r>
        <w:t xml:space="preserve">4. bestimmte für die Interoperabilität der Ende-zu-Ende-Kommunikation notwendige Voraussetzungen, einschließlich der Bereitstellung von Einrichtungen für intelligente Netzdienste oder Roaming (die Ermöglichung der Nutzung von Mobilfunknetzen anderer Betreiber auch außerhalb des Versorgungsbereichs des nachfragenden Mobilfunknetzbetreibers für dessen Endnutzer) zu schaffen,</w:t>
      </w:r>
    </w:p>
    <w:p>
      <w:pPr>
        <w:ind w:left="420"/>
      </w:pPr>
      <w:r>
        <w:t xml:space="preserve">5. Zugang zu Systemen für die Betriebsunterstützung oder ähnlichen Softwaresystemen, die zur Gewährleistung eines chancengleichen Wettbewerbs bei der Bereitstellung von Diensten notwendig sind, unter Sicherstellung der Effizienz bestehender Einrichtungen zu gewähren,</w:t>
      </w:r>
    </w:p>
    <w:p>
      <w:pPr>
        <w:ind w:left="420"/>
      </w:pPr>
      <w:r>
        <w:t xml:space="preserve">6. im Rahmen der Erfüllung der Zugangsverpflichtungen nach diesem Absatz oder Absatz 3 Nutzungsmöglichkeiten von Zugangsleistungen sowie Kooperationsmöglichkeiten zwischen den zum Zugang berechtigten Unternehmen zuzulassen, es sei denn, ein Betreiber mit beträchtlicher Marktmacht weist im Einzelfall nach, dass eine Nutzungsmöglichkeit oder eine Kooperation aus technischen Gründen nicht oder nur eingeschränkt möglich ist,</w:t>
      </w:r>
    </w:p>
    <w:p>
      <w:pPr>
        <w:ind w:left="420"/>
      </w:pPr>
      <w:r>
        <w:t xml:space="preserve">7. Zugang zu Dienstleistungen im Bereich der einheitlichen Rechnungsstellung sowie zur Entgegennahme oder dem ersten Einzug von Zahlungen nach den nachfolgenden Maßgaben zu gewähren, soweit die Rechnungsersteller nicht eine Vereinbarung mit dem überwiegenden Teil des insoweit relevanten Marktes der von ihren Anschlusskunden auswählbaren Anbietern von öffentlich zugänglichen Telekommunikationsdiensten abgeschlossen haben und auch anderen Anbietern, die nicht an einer solchen Vereinbarung beteiligt sind, diskriminierungsfreien Zugang zu diesen Dienstleistungen nach den in der Vereinbarung niedergelegten Bedingungen gewähren:</w:t>
      </w:r>
    </w:p>
    <w:p>
      <w:pPr>
        <w:ind w:left="780"/>
      </w:pPr>
      <w:r>
        <w:t xml:space="preserve">a) Soweit der Endnutzer mit anderen Anbietern von öffentlich zugänglichen Telekommunikationsdiensten nicht etwas anderes vereinbart, ist ihm eine Rechnung vom Rechnungsersteller zu erstellen, die unabhängig von der Tarifgestaltung auch die Entgelte für Telekommunikationsdienstleistungen, Leistungen nach § 78 Absatz 2 Nummer 4 und telekommunikationsgestützte Dienste anderer Anbieter ausweist, die über den Netzzugang des Endnutzers in Anspruch genommen werden. Dies gilt auch für Entgelte für während der Telefonverbindung übertragene Berechtigungscodes, wenn diese ausschließlich Dienstleistungen zum Gegenstand haben. Die Zahlung an den Rechnungsersteller für diese Entgelte erfolgt einheitlich für die gesamte in Anspruch genommene Leistung wie für dessen Forderungen.</w:t>
      </w:r>
    </w:p>
    <w:p>
      <w:pPr>
        <w:ind w:left="780"/>
      </w:pPr>
      <w:r>
        <w:t xml:space="preserve">b) Eine Verpflichtung zur Rechnungserstellung kann nicht auferlegt werden für zeitunabhängig tarifierte Leistungen im Sinne von Buchstabe a Satz 1 und 2 mit Entgelten über 30 Euro (ab dem 1. Januar 2008 über 10 Euro), zeitabhängig tarifierte telekommunikationsgestützte Dienste und Leistungen nach Buchstabe a Satz 2 jeweils mit Entgelten über 2 Euro pro Minute sowie für alle Dienste, für die ein Legitimationsverfahren erforderlich ist. Eine Verpflichtung zur Reklamationsbearbeitung der für Dritte abgerechneten Leistungen, zur Mahnung und zur Durchsetzung der Forderungen Dritter kann ebenfalls nicht auferlegt werden.</w:t>
      </w:r>
    </w:p>
    <w:p>
      <w:pPr>
        <w:ind w:left="780"/>
      </w:pPr>
      <w:r>
        <w:t xml:space="preserve">c) Zu Zwecken der Reklamationsbearbeitung, der Mahnung sowie der Durchsetzung von Forderungen für Leistungen im Sinne von Buchstabe a Satz 1 und 2 sind den Anbietern von öffentlich zugänglichen Telekommunikationsdiensten vom Rechnungsersteller die erforderlichen Bestandsdaten zu übermitteln. Soweit der Anbieter Leistungen im Sinne von Buchstabe a Satz 2 dem Kunden selbst in Rechnung stellt, sind ihm ab dem 1. April 2005 die erforderlichen Bestandsdaten vom Rechnungsersteller zu übermitteln.</w:t>
      </w:r>
    </w:p>
    <w:p>
      <w:pPr>
        <w:ind w:left="780"/>
      </w:pPr>
      <w:r>
        <w:t xml:space="preserve">d) Anbieter von öffentlich zugänglichen Telekommunikationsdiensten haben dem Rechnungsersteller gegenüber sicherzustellen, dass ihm keine Datensätze für Leistungen zur Abrechnung übermittelt werden, die nicht den gesetzlichen oder den verbraucherschutzrechtlichen Regelungen entsprechen. Der Rechnungsersteller trägt weder die Verantwortung noch haftet er für die für Dritte abgerechneten Leistungen.</w:t>
      </w:r>
    </w:p>
    <w:p>
      <w:pPr>
        <w:ind w:left="780"/>
      </w:pPr>
      <w:r>
        <w:t xml:space="preserve">e) Der Rechnungsersteller hat in seinen Mahnungen einen drucktechnisch deutlich hervorgehobenen Hinweis aufzunehmen, dass der Kunde nicht nur den Mahnbetrag, sondern auch den gegebenenfalls höheren, ursprünglichen Rechnungsbetrag mit befreiender Wirkung an den Rechnungsersteller zahlen kann.</w:t>
      </w:r>
    </w:p>
    <w:p>
      <w:pPr>
        <w:ind w:left="420"/>
      </w:pPr>
      <w:r>
        <w:t xml:space="preserve">8. Zugang zu zugehörigen Diensten wie einem Identitäts-, Standort- und Präsenzdienst zu gewähren.</w:t>
      </w:r>
    </w:p>
    <w:p>
      <w:r>
        <w:t xml:space="preserve">(3) Die Bundesnetzagentur soll Betreibern öffentlicher Telekommunikationsnetze, die über beträchtliche Marktmacht verfügen, folgende Verpflichtungen nach Absatz 1 auferlegen:</w:t>
      </w:r>
    </w:p>
    <w:p>
      <w:pPr>
        <w:ind w:left="420"/>
      </w:pPr>
      <w:r>
        <w:t xml:space="preserve">1. Zugang zu nicht aktiven Netzkomponenten zu gewähren,</w:t>
      </w:r>
    </w:p>
    <w:p>
      <w:pPr>
        <w:ind w:left="420"/>
      </w:pPr>
      <w:r>
        <w:t xml:space="preserve">2. vollständig entbündelten Zugang zum Teilnehmeranschluss sowie gemeinsamen Zugang zum Teilnehmeranschluss zu gewähren,</w:t>
      </w:r>
    </w:p>
    <w:p>
      <w:pPr>
        <w:ind w:left="420"/>
      </w:pPr>
      <w:r>
        <w:t xml:space="preserve">3. Zusammenschaltung von Telekommunikationsnetzen zu ermöglichen,</w:t>
      </w:r>
    </w:p>
    <w:p>
      <w:pPr>
        <w:ind w:left="420"/>
      </w:pPr>
      <w:r>
        <w:t xml:space="preserve">4. offenen Zugang zu technischen Schnittstellen, Protokollen oder anderen Schlüsseltechnologien, die für die Interoperabilität von Diensten oder Dienste für virtuelle Netze unentbehrlich sind, zu gewähren,</w:t>
      </w:r>
    </w:p>
    <w:p>
      <w:pPr>
        <w:ind w:left="420"/>
      </w:pPr>
      <w:r>
        <w:t xml:space="preserve">5. Kollokation oder andere Formen der gemeinsamen Nutzung von Einrichtungen wie Gebäuden, Leitungen und Masten zu ermöglichen sowie den Nachfragern oder deren Beauftragten jederzeit Zutritt zu diesen Einrichtungen zu gewähren.</w:t>
      </w:r>
    </w:p>
    <w:p>
      <w:pPr>
        <w:ind w:left="420"/>
      </w:pPr>
      <w:r>
        <w:t xml:space="preserve">6. Zugang zu bestimmten Netzkomponenten, -einrichtungen und Diensten zu gewähren, um unter anderem die Betreiberauswahl oder die Betreibervorauswahl zu ermöglichen.</w:t>
      </w:r>
    </w:p>
    <w:p>
      <w:r>
        <w:t xml:space="preserve">(4) Weist ein Betreiber nach, dass durch die Inanspruchnahme der Leistung die Aufrechterhaltung der Netzintegrität oder die Sicherheit des Netzbetriebs gefährdet würde, erlegt die Bundesnetzagentur die betreffende Zugangsverpflichtung nicht oder in anderer Form auf. Die Aufrechterhaltung der Netzintegrität und die Sicherheit des Netzbetriebs sind nach objektiven Maßstäben zu beurteilen.</w:t>
      </w:r>
    </w:p>
    <w:p>
      <w:r>
        <w:t xml:space="preserve">(5) Wenn die Bundesnetzagentur einem Betreiber die Verpflichtung auferlegt, den Zugang bereitzustellen, kann sie technische oder betriebliche Bedingungen festlegen, die vom Betreiber oder von den Nutzern dieses Zugangs erfüllt werden müssen, soweit dies erforderlich ist, um den normalen Betrieb des Netzes sicherzustellen. Verpflichtungen, bestimmte technische Normen oder Spezifikationen zugrunde zu legen, müssen mit den nach Artikel 17 der Richtlinie 2002/21/EG festgelegten Normen und Spezifikationen übereinstimmen.</w:t>
      </w:r>
    </w:p>
    <w:p>
      <w:r>
        <w:rPr>
          <w:color w:val="555555"/>
          <w:sz w:val="17"/>
        </w:rPr>
        <w:t xml:space="preserve">Zitiervorschlag: § 21 TKG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https://recht.nulegal.eu/gesetze/TKG%202004/21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