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TKG 2004 — Transparenzverpflichtung</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Die Bundesnetzagentur kann einen Betreiber eines öffentlichen Telekommunikationsnetzes, der über beträchtliche Marktmacht verfügt, verpflichten, für die zum Zugang berechtigten Unternehmen alle für die Inanspruchnahme der entsprechenden Zugangsleistungen benötigten Informationen zu veröffentlichen, insbesondere Informationen zur Buchführung, zu technischen Spezifikationen, Netzmerkmalen, Bereitstellungs- und Nutzungsbedingungen, einschließlich aller Bedingungen, die den Zugang zu und die Nutzung von Diensten und Anwendungen beschränken, sowie über die zu zahlenden Entgelte.</w:t>
      </w:r>
    </w:p>
    <w:p>
      <w:r>
        <w:t xml:space="preserve">(2) Die Bundesnetzagentur ist befugt, einem Betreiber mit beträchtlicher Marktmacht vorzuschreiben, welche Informationen in welcher Form zur Verfügung zu stellen sind, soweit dies verhältnismäßig ist.</w:t>
      </w:r>
    </w:p>
    <w:p>
      <w:r>
        <w:t xml:space="preserve">(3) Die Bundesnetzagentur kann den Betreiber eines öffentlichen Telekommunikationsnetzes, der über beträchtliche Marktmacht verfügt, insbesondere verpflichten, ihr Vereinbarungen über von ihm gewährte Zugangsleistungen ohne gesonderte Aufforderung in einer öffentlichen und einer vertraulichen Fassung vorzulegen. Die Bundesnetzagentur veröffentlicht, wann und wo Nachfrager nach Zugangsleistungen eine öffentliche Vereinbarung nach Satz 1 einsehen können.</w:t>
      </w:r>
    </w:p>
    <w:p>
      <w:r>
        <w:rPr>
          <w:color w:val="555555"/>
          <w:sz w:val="17"/>
        </w:rPr>
        <w:t xml:space="preserve">Zitiervorschlag: § 20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