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TKG 2004 — Diskriminierungsverbot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Bundesnetzagentur kann einen Betreiber eines öffentlichen Telekommunikationsnetzes mit beträchtlicher Marktmacht dazu verpflichten, dass Vereinbarungen über Zugänge auf objektiven Maßstäben beruhen, nachvollziehbar sein, einen gleichwertigen Zugang gewähren und den Geboten der Chancengleichheit und Billigkeit genügen müssen.</w:t>
      </w:r>
    </w:p>
    <w:p>
      <w:r>
        <w:t xml:space="preserve">(2) Die Gleichbehandlungsverpflichtungen stellen insbesondere sicher, dass der betreffende Betreiber anderen Unternehmen, die gleichartige Dienste erbringen, unter den gleichen Umständen gleichwertige Bedingungen anbietet und Dienste und Informationen für Dritte zu den gleichen Bedingungen und mit der gleichen Qualität bereitstellt wie für seine eigenen Produkte oder die seiner Tochter- oder Partnerunternehmen.</w:t>
      </w:r>
    </w:p>
    <w:p>
      <w:r>
        <w:rPr>
          <w:color w:val="555555"/>
          <w:sz w:val="17"/>
        </w:rPr>
        <w:t xml:space="preserve">Zitiervorschlag: § 19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