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15a TKG 2004 — Regulierungskonzepte und Antrag auf Auskunft über den Regulierungsrahmen für Netze der nächsten Generation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Zur Verfolgung einheitlicher Regulierungskonzepte im Sinne von § 2 Absatz 3 Nummer 1 kann die Bundesnetzagentur in Form von Verwaltungsvorschriften ihre grundsätzlichen Herangehensweisen und Methoden für die Marktdefinition nach § 10, die Marktanalyse nach § 11 und die Regulierungsverfügungen für einen bestimmten, mehrere Marktregulierungszyklen nach § 14 Absatz 2 umfassenden Zeitraum beschreiben.</w:t>
      </w:r>
    </w:p>
    <w:p>
      <w:r>
        <w:t xml:space="preserve">(2) Zur Förderung effizienter Investitionen und Innovationen im Bereich neuer und verbesserter Infrastrukturen im Sinne des § 2 Absatz 3 Nummer 4 kann die Bundesnetzagentur regelmäßig in Form von Verwaltungsvorschriften die grundsätzlichen regulatorischen Anforderungen an die Berücksichtigung von Investitionsrisiken sowie an Vereinbarungen zur Aufteilung des Investitionsrisikos zwischen Investoren untereinander und zwischen Investoren und Zugangsbegehrenden bei Projekten zur Errichtung von Netzen der nächsten Generation (Risikobeteiligungsmodelle) beschreiben. Dies umfasst insbesondere Anforderungen an die Methodik zur Bestimmung der Risiken und Anforderungen an die Ausgestaltung der Zugangs- und Entgeltkonditionen von Risikobeteiligungsmodellen sowie Beispiele für Risikobeteiligungsmodelle.</w:t>
      </w:r>
    </w:p>
    <w:p>
      <w:r>
        <w:t xml:space="preserve">(3) Für den Erlass der Verwaltungsvorschriften nach den Absätzen 1 und 2 gilt das Konsultations- und Konsolidierungsverfahren nach § 12 Absatz 1 und 2 entsprechend.</w:t>
      </w:r>
    </w:p>
    <w:p>
      <w:r>
        <w:t xml:space="preserve">(4) Auf Antrag eines Betreibers öffentlicher Telekommunikationsnetze erteilt die Bundesnetzagentur beim Auf- und Ausbau von Netzen der nächsten Generation für die in dem Antrag konkret bezeichnete Region des Bundesgebiets Auskunft über die zu erwartenden regulatorischen Rahmenbedingungen oder Maßnahmen nach diesem Teil. Für Festlegungen nach diesem Teil gilt das Konsultations- und Konsolidierungsverfahren nach § 12 Absatz 1 und Absatz 2 entsprechend.</w:t>
      </w:r>
    </w:p>
    <w:p>
      <w:r>
        <w:rPr>
          <w:color w:val="555555"/>
          <w:sz w:val="17"/>
        </w:rPr>
        <w:t xml:space="preserve">Zitiervorschlag: § 15a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