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148 TKG 2004 — Strafvorschriften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(1) Mit Freiheitsstrafe bis zu zwei Jahren oder mit Geldstrafe wird bestraft, wer</w:t>
      </w:r>
    </w:p>
    <w:p>
      <w:pPr>
        <w:ind w:left="420"/>
      </w:pPr>
      <w:r>
        <w:t xml:space="preserve">1. entgegen § 89 Satz 1 oder 2 eine Nachricht abhört oder in vergleichbarer Weise zur Kenntnis nimmt oder den Inhalt einer Nachricht oder die Tatsache ihres Empfangs einem anderen mitteilt oder</w:t>
      </w:r>
    </w:p>
    <w:p>
      <w:pPr>
        <w:ind w:left="420"/>
      </w:pPr>
      <w:r>
        <w:t xml:space="preserve">2. entgegen § 90 Abs. 1 Satz 1 eine dort genannte Sendeanlage oder eine sonstige Telekommunikationsanlage</w:t>
      </w:r>
    </w:p>
    <w:p>
      <w:pPr>
        <w:ind w:left="780"/>
      </w:pPr>
      <w:r>
        <w:t xml:space="preserve">a) besitzt oder</w:t>
      </w:r>
    </w:p>
    <w:p>
      <w:pPr>
        <w:ind w:left="780"/>
      </w:pPr>
      <w:r>
        <w:t xml:space="preserve">b) herstellt, vertreibt, einführt oder sonst in den Geltungsbereich dieses Gesetzes verbringt.</w:t>
      </w:r>
    </w:p>
    <w:p>
      <w:r>
        <w:t xml:space="preserve">(2) Handelt der Täter in den Fällen des Absatzes 1 Nr. 2 Buchstabe b fahrlässig, so ist die Strafe Freiheitsstrafe bis zu einem Jahr oder Geldstrafe.</w:t>
      </w:r>
    </w:p>
    <w:p>
      <w:r>
        <w:rPr>
          <w:color w:val="555555"/>
          <w:sz w:val="17"/>
        </w:rPr>
        <w:t xml:space="preserve">Zitiervorschlag: § 148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