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127 TKG 2004 — Auskunftsverlangen</w:t>
      </w:r>
    </w:p>
    <w:p>
      <w:r>
        <w:rPr>
          <w:color w:val="555555"/>
          <w:sz w:val="18"/>
        </w:rPr>
        <w:t xml:space="preserve">Telekommunikationsgesetz</w:t>
      </w:r>
    </w:p>
    <w:p>
      <w:r>
        <w:rPr>
          <w:color w:val="555555"/>
          <w:sz w:val="18"/>
        </w:rPr>
        <w:t xml:space="preserve">Historische Fassung: Stand 17.12.2019 bis 01.12.2021. Dies ist nicht die aktuelle Fassung.</w:t>
      </w:r>
    </w:p>
    <w:p>
      <w:r>
        <w:t xml:space="preserve">(1) Unbeschadet anderer nationaler oder auf unmittelbar vollziehbarem Recht der Europäischen Union beruhender Berichts- und Informationspflichten sind die Betreiber von öffentlichen Telekommunikationsnetzen und die Anbieter von öffentlich zugänglichen Telekommunikationsdiensten verpflichtet, im Rahmen der Rechte und Pflichten aus diesem Gesetz und aus der Verordnung (EU) 2015/2120 der Bundesnetzagentur auf Verlangen Auskünfte zu erteilen, die für den Vollzug dieses Gesetzes erforderlich sind. Die Bundesnetzagentur kann insbesondere Auskünfte verlangen, die erforderlich sind für</w:t>
      </w:r>
    </w:p>
    <w:p>
      <w:pPr>
        <w:ind w:left="420"/>
      </w:pPr>
      <w:r>
        <w:t xml:space="preserve">1. die systematische oder einzelfallbezogene Überprüfung der Verpflichtungen, die sich aus diesem Gesetz oder auf Grund dieses Gesetzes ergeben,</w:t>
      </w:r>
    </w:p>
    <w:p>
      <w:pPr>
        <w:ind w:left="420"/>
      </w:pPr>
      <w:r>
        <w:t xml:space="preserve">2. die einzelfallbezogene Überprüfung von Verpflichtungen, wenn der Bundesnetzagentur eine Beschwerde vorliegt oder sie aus anderen Gründen eine Verletzung von Pflichten annimmt oder sie von sich aus Ermittlungen durchführt,</w:t>
      </w:r>
    </w:p>
    <w:p>
      <w:pPr>
        <w:ind w:left="420"/>
      </w:pPr>
      <w:r>
        <w:t xml:space="preserve">3. die Veröffentlichung von Qualitäts- und Preisvergleichen für Dienste zum Nutzen der Endnutzer, einschließlich Informationen über die tatsächliche, standortbezogene Netzabdeckung nach § 45n Absatz 8 Satz 2,</w:t>
      </w:r>
    </w:p>
    <w:p>
      <w:pPr>
        <w:ind w:left="420"/>
      </w:pPr>
      <w:r>
        <w:t xml:space="preserve">4. genau angegebene statistische Zwecke,</w:t>
      </w:r>
    </w:p>
    <w:p>
      <w:pPr>
        <w:ind w:left="420"/>
      </w:pPr>
      <w:r>
        <w:t xml:space="preserve">5. ein Marktdefinitions- und Marktanalyseverfahren nach den §§ 10 und 11,</w:t>
      </w:r>
    </w:p>
    <w:p>
      <w:pPr>
        <w:ind w:left="420"/>
      </w:pPr>
      <w:r>
        <w:t xml:space="preserve">6. Verfahren auf Erteilung von Nutzungsrechten und zur Überprüfung der entsprechenden Anträge sowie</w:t>
      </w:r>
    </w:p>
    <w:p>
      <w:pPr>
        <w:ind w:left="420"/>
      </w:pPr>
      <w:r>
        <w:t xml:space="preserve">7. die Nutzung von Nummern.</w:t>
      </w:r>
    </w:p>
    <w:p>
      <w:r>
        <w:t xml:space="preserve">Auskünfte nach Satz 3 Nr. 1 bis 5 dürfen nicht vor dem Zugang zum Markt oder als Bedingung für den Zugang verlangt werden.</w:t>
      </w:r>
    </w:p>
    <w:p>
      <w:r>
        <w:t xml:space="preserve">(2) Soweit es zur Erfüllung der in diesem Gesetz der Bundesnetzagentur übertragenen Aufgaben erforderlich ist, kann die Bundesnetzagentur von den nach Absatz 1 in der Telekommunikation tätigen Unternehmen</w:t>
      </w:r>
    </w:p>
    <w:p>
      <w:pPr>
        <w:ind w:left="420"/>
      </w:pPr>
      <w:r>
        <w:t xml:space="preserve">1. Auskunft über ihre wirtschaftlichen Verhältnisse, insbesondere über Umsatzzahlen, verlangen,</w:t>
      </w:r>
    </w:p>
    <w:p>
      <w:pPr>
        <w:ind w:left="420"/>
      </w:pPr>
      <w:r>
        <w:t xml:space="preserve">2. innerhalb der üblichen Betriebs- oder Geschäftszeiten die geschäftlichen Unterlagen einsehen und prüfen.</w:t>
      </w:r>
    </w:p>
    <w:p>
      <w:r>
        <w:t xml:space="preserve">Die Bundesnetzagentur kann von den nach Absatz 1 in der Telekommunikation tätigen Unternehmen insbesondere Auskünfte über künftige Netz- und Diensteentwicklungen verlangen, wenn diese Entwicklungen sich auf Dienste auf Vorleistungsebene auswirken können, die die Unternehmen Wettbewerbern zugänglich machen. Die Bundesnetzagentur kann ferner von Unternehmen mit beträchtlicher Marktmacht auf Vorleistungsmärkten verlangen, Rechnungslegungsdaten zu den mit diesen Vorleistungsmärkten verbundenen Endnutzermärkten vorzulegen.</w:t>
      </w:r>
    </w:p>
    <w:p>
      <w:r>
        <w:t xml:space="preserve">(2a) Soweit es zur Erfüllung der Aufgaben erforderlich ist, die der Bundesnetzagentur in diesem Gesetz übertragen werden, kann die Bundesnetzagentur im Streitfall</w:t>
      </w:r>
    </w:p>
    <w:p>
      <w:pPr>
        <w:ind w:left="420"/>
      </w:pPr>
      <w:r>
        <w:t xml:space="preserve">1. passive Netzinfrastrukturen öffentlicher Versorgungsnetze vor Ort untersuchen,</w:t>
      </w:r>
    </w:p>
    <w:p>
      <w:pPr>
        <w:ind w:left="420"/>
      </w:pPr>
      <w:r>
        <w:t xml:space="preserve">2. von den Eigentümern und Betreibern öffentlicher Versorgungsnetze Auskünfte über künftige Entwicklungen der Netze und Dienste verlangen, soweit sich diese Entwicklungen auf die Mitnutzung der passiven Netzinfrastrukturen der Eigentümer und Betreiber öffentlicher Versorgungsnetze auswirken können, und</w:t>
      </w:r>
    </w:p>
    <w:p>
      <w:pPr>
        <w:ind w:left="420"/>
      </w:pPr>
      <w:r>
        <w:t xml:space="preserve">3. in den Fällen von § 77a Absatz 4, § 77b Absatz 4, § 77c Absatz 3, § 77g Absatz 2, § 77h Absatz 4 und § 77i Absatz 5 Einsicht nehmen in die von den Betreibern öffentlicher Versorgungsnetze erstellten Sicherheitskonzepte, sonstigen Konzepte, Nachweisdokumente oder in Teile davon.</w:t>
      </w:r>
    </w:p>
    <w:p>
      <w:r>
        <w:t xml:space="preserve">(2b) Die Bundesnetzagentur stellt dem Bundesministerium für Wirtschaft und Energie und dem Bundesministerium für Verkehr und digitale Infrastruktur Daten zum tatsächlichen, standortbezogenen Ausbau der Mobilfunknetze nach Absatz 1 Satz 2 Nummer 3 in Verbindung mit § 45n Absatz 8 Satz 2, insbesondere Daten zu lokalen Schwerpunkten für Verbindungsabbrüche bei der Sprachtelefonie, einschließlich unternehmensbezogener Daten und der Betriebs- und Geschäftsgeheimnisse, in einem weiterverarbeitungsfähigen Format zur Verfügung, soweit dies zur Erfüllung ihrer jeweiligen gesetzlichen Aufgaben erforderlich ist. Zu den gesetzlichen Aufgaben zählt auch die Erstellung von Netzabdeckungskarten unter Wahrung von Betriebs- und Geschäftsgeheimnissen.</w:t>
      </w:r>
    </w:p>
    <w:p>
      <w:r>
        <w:t xml:space="preserve">(3) Die Bundesnetzagentur fordert die Auskünfte nach den Absätzen 1, 2 und 2a und ordnet die Prüfung nach Absatz 2 Nummer 2 und 2a durch schriftliche Verfügung an. In der Verfügung sind die Rechtsgrundlagen, der Gegenstand und der Zweck des Auskunftsverlangens anzugeben. Bei einem Auskunftsverlangen ist eine angemessene Frist zur Erteilung der Auskunft zu bestimmen.</w:t>
      </w:r>
    </w:p>
    <w:p>
      <w:r>
        <w:t xml:space="preserve">(4) Die Inhaber der Unternehmen oder die diese vertretenden Personen, bei juristischen Personen, Gesellschaften oder nicht rechtsfähigen Vereinen die nach Gesetz oder Satzung zur Vertretung berufenen Personen, sind verpflichtet, die verlangten Auskünfte nach den Absätzen 1, 2 und 2a zu erteilen, die geschäftlichen Unterlagen vorzulegen und die Prüfung dieser geschäftlichen Unterlagen sowie das Betreten von Geschäftsräumen und -grundstücken während der üblichen Betriebs- oder Geschäftszeiten zu dulden.</w:t>
      </w:r>
    </w:p>
    <w:p>
      <w:r>
        <w:t xml:space="preserve">(5) Personen, die von der Bundesnetzagentur mit der Vornahme von Prüfungen beauftragt werden, dürfen die Büro- und Geschäftsräume der Unternehmen und Vereinigungen von Unternehmen während der üblichen Betriebs- oder Geschäftszeiten betreten.</w:t>
      </w:r>
    </w:p>
    <w:p>
      <w:r>
        <w:t xml:space="preserve">(6) Durchsuchungen können nur auf Anordnung des Amtsgerichts, in dessen Bezirk die Durchsuchung erfolgen soll, vorgenommen werden. Auf die Anfechtung dieser Anordnung finden die §§ 306 bis 310 und 311a der Strafprozessordnung entsprechende Anwendung. Bei Gefahr im Verzug können die in Absatz 5 bezeichneten Personen während der Geschäftszeit die erforderlichen Durchsuchungen ohne richterliche Anordnung vornehmen. An Ort und Stelle ist eine Niederschrift über die Durchsuchung und ihr wesentliches Ergebnis aufzunehmen, aus der sich, falls keine richterliche Anordnung ergangen ist, auch die Tatsachen ergeben, die zur Annahme einer Gefahr im Verzug geführt haben.</w:t>
      </w:r>
    </w:p>
    <w:p>
      <w:r>
        <w:t xml:space="preserve">(7) Gegenstände oder geschäftliche Unterlagen können im erforderlichen Umfang in Verwahrung genommen werden oder, wenn sie nicht freiwillig herausgegeben werden, beschlagnahmt werden. Auf die Beschlagnahme findet Absatz 6 entsprechende Anwendung.</w:t>
      </w:r>
    </w:p>
    <w:p>
      <w:r>
        <w:t xml:space="preserve">(8) Zur Auskunft nach Absatz 4 Verpflichtete können die Auskunft auf solche Fragen verweigern, deren Beantwortung sie selbst oder in § 383 Abs. 1 Nr. 1 bis 3 der Zivilprozessordnung bezeichnete Angehörige der Gefahr strafgerichtlicher Verfolgung oder eines Verfahrens nach dem Gesetz über Ordnungswidrigkeiten aussetzen würde. Die durch Auskünfte oder Maßnahmen nach den Absätzen 1 und 2 erlangten Kenntnisse und Unterlagen dürfen für ein Besteuerungsverfahren oder ein Bußgeldverfahren wegen einer Steuerordnungswidrigkeit oder einer Devisenzuwiderhandlung sowie für ein Verfahren wegen einer Steuerstraftat oder einer Devisenstraftat nicht verwendet werden; die §§ 93, 97, 105 Abs. 1, § 111 Abs. 5 in Verbindung mit § 105 Abs. 1 sowie § 116 Abs. 1 der Abgabenordnung sind insoweit nicht anzuwenden. Satz 1 gilt nicht für Verfahren wegen einer Steuerstraftat sowie eines damit zusammenhängenden Besteuerungsverfahrens, wenn an deren Durchführung ein zwingendes öffentliches Interesse besteht, oder bei vorsätzlich falschen Angaben der Auskunftspflichtigen oder der für sie tätigen Personen.</w:t>
      </w:r>
    </w:p>
    <w:p>
      <w:r>
        <w:t xml:space="preserve">(9) Soweit Prüfungen einen Verstoß gegen Auflagen, Anordnungen oder Verfügungen der Bundesnetzagentur ergeben haben, hat das Unternehmen der Bundesnetzagentur die Aufwendungen für diese Prüfungen einschließlich ihrer Auslagen für Sachverständige zu erstatten.</w:t>
      </w:r>
    </w:p>
    <w:p>
      <w:r>
        <w:t xml:space="preserve">(10) Zur Durchsetzung dieser Anordnungen kann nach Maßgabe des Verwaltungsvollstreckungsgesetzes ein Zwangsgeld bis zu 500 000 Euro festgesetzt werden.</w:t>
      </w:r>
    </w:p>
    <w:p>
      <w:r>
        <w:rPr>
          <w:color w:val="555555"/>
          <w:sz w:val="17"/>
        </w:rPr>
        <w:t xml:space="preserve">Zitiervorschlag: § 127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https://recht.nulegal.eu/gesetze/TKG%202004/127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