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124 TKG 2004 — Mediation</w:t>
      </w:r>
    </w:p>
    <w:p>
      <w:r>
        <w:rPr>
          <w:color w:val="555555"/>
          <w:sz w:val="18"/>
        </w:rPr>
        <w:t xml:space="preserve">Telekommunikationsgesetz</w:t>
      </w:r>
    </w:p>
    <w:p>
      <w:r>
        <w:rPr>
          <w:color w:val="555555"/>
          <w:sz w:val="18"/>
        </w:rPr>
        <w:t xml:space="preserve">Historische Fassung: Stand 10.06.2019 bis 01.12.2021. Dies ist nicht die aktuelle Fassung.</w:t>
      </w:r>
    </w:p>
    <w:p>
      <w:r>
        <w:t xml:space="preserve">Die Bundesnetzagentur kann in geeigneten Fällen zur Beilegung telekommunikationsrechtlicher Streitigkeiten den Parteien einen einvernehmlichen Einigungsversuch vor einer Gütestelle (Mediationsverfahren) vorschlagen.</w:t>
      </w:r>
    </w:p>
    <w:p>
      <w:r>
        <w:rPr>
          <w:color w:val="555555"/>
          <w:sz w:val="17"/>
        </w:rPr>
        <w:t xml:space="preserve">Zitiervorschlag: § 124 TKG 2004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https://recht.nulegal.eu/gesetze/TKG%202004/124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