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TKG 2004 — Daten für Auskunftsersuchen der Sicherheitsbehörden</w:t>
      </w:r>
    </w:p>
    <w:p>
      <w:r>
        <w:rPr>
          <w:color w:val="555555"/>
          <w:sz w:val="18"/>
        </w:rPr>
        <w:t xml:space="preserve">Telekommunikationsgesetz</w:t>
      </w:r>
    </w:p>
    <w:p>
      <w:r>
        <w:rPr>
          <w:color w:val="555555"/>
          <w:sz w:val="18"/>
        </w:rPr>
        <w:t xml:space="preserve">Historische Fassung: Stand 31.10.2019 bis 01.12.2021. Dies ist nicht die aktuelle Fassung.</w:t>
      </w:r>
    </w:p>
    <w:p>
      <w:r>
        <w:t xml:space="preserve">(1) Wer geschäftsmäßig Telekommunikationsdienste erbringt oder daran mitwirkt und dabei Rufnummern oder andere Anschlusskennungen vergibt oder Telekommunikationsanschlüsse für von anderen vergebene Rufnummern oder andere Anschlusskennungen bereitstellt, hat für die Auskunftsverfahren nach den §§ 112 und 113</w:t>
      </w:r>
    </w:p>
    <w:p>
      <w:pPr>
        <w:ind w:left="420"/>
      </w:pPr>
      <w:r>
        <w:t xml:space="preserve">1. die Rufnummern und anderen Anschlusskennungen,</w:t>
      </w:r>
    </w:p>
    <w:p>
      <w:pPr>
        <w:ind w:left="420"/>
      </w:pPr>
      <w:r>
        <w:t xml:space="preserve">2. den Namen und die Anschrift des Anschlussinhabers,</w:t>
      </w:r>
    </w:p>
    <w:p>
      <w:pPr>
        <w:ind w:left="420"/>
      </w:pPr>
      <w:r>
        <w:t xml:space="preserve">3. bei natürlichen Personen deren Geburtsdatum,</w:t>
      </w:r>
    </w:p>
    <w:p>
      <w:pPr>
        <w:ind w:left="420"/>
      </w:pPr>
      <w:r>
        <w:t xml:space="preserve">4. bei Festnetzanschlüssen auch die Anschrift des Anschlusses,</w:t>
      </w:r>
    </w:p>
    <w:p>
      <w:pPr>
        <w:ind w:left="420"/>
      </w:pPr>
      <w:r>
        <w:t xml:space="preserve">5. in Fällen, in denen neben einem Mobilfunkanschluss auch ein Mobilfunkendgerät überlassen wird, die Gerätenummer dieses Gerätes sowie</w:t>
      </w:r>
    </w:p>
    <w:p>
      <w:pPr>
        <w:ind w:left="420"/>
      </w:pPr>
      <w:r>
        <w:t xml:space="preserve">6. das Datum des Vertragsbeginns</w:t>
      </w:r>
    </w:p>
    <w:p>
      <w:r>
        <w:t xml:space="preserve">vor der Freischaltung zu erheben und unverzüglich zu speichern, auch soweit diese Daten für betriebliche Zwecke nicht erforderlich sind; das Datum des Vertragsendes ist bei Bekanntwerden ebenfalls zu speichern. Satz 1 gilt auch, soweit die Daten nicht in Teilnehmerverzeichnisse (§ 104) eingetragen werden. Bei im Voraus bezahlten Mobilfunkdiensten ist die Richtigkeit der nach Satz 1 erhobenen Daten vor der Freischaltung zu überprüfen durch</w:t>
      </w:r>
    </w:p>
    <w:p>
      <w:pPr>
        <w:ind w:left="420"/>
      </w:pPr>
      <w:r>
        <w:t xml:space="preserve">1. Vorlage eines Ausweises im Sinne des § 2 Absatz 1 des Personalausweisgesetzes,</w:t>
      </w:r>
    </w:p>
    <w:p>
      <w:pPr>
        <w:ind w:left="420"/>
      </w:pPr>
      <w:r>
        <w:t xml:space="preserve">2. Vorlage eines Passes im Sinne des § 1 Absatz 2 des Passgesetzes,</w:t>
      </w:r>
    </w:p>
    <w:p>
      <w:pPr>
        <w:ind w:left="420"/>
      </w:pPr>
      <w:r>
        <w:t xml:space="preserve">3. Vorlage eines sonstigen gültigen amtlichen Ausweises, der ein Lichtbild des Inhabers enthält und mit dem die Pass- und Ausweispflicht im Inland erfüllt wird, wozu insbesondere auch ein nach ausländerrechtlichen Bestimmungen anerkannter oder zugelassener Pass, Personalausweis oder Pass- oder Ausweisersatz zählt,</w:t>
      </w:r>
    </w:p>
    <w:p>
      <w:pPr>
        <w:ind w:left="420"/>
      </w:pPr>
      <w:r>
        <w:t xml:space="preserve">4. Vorlage eines Aufenthaltstitels,</w:t>
      </w:r>
    </w:p>
    <w:p>
      <w:pPr>
        <w:ind w:left="420"/>
      </w:pPr>
      <w:r>
        <w:t xml:space="preserve">5. Vorlage eines Ankunftsnachweises nach § 63a Absatz 1 des Asylgesetzes oder einer Bescheinigung über die Aufenthaltsgestattung nach § 63 Absatz 1 des Asylgesetzes,</w:t>
      </w:r>
    </w:p>
    <w:p>
      <w:pPr>
        <w:ind w:left="420"/>
      </w:pPr>
      <w:r>
        <w:t xml:space="preserve">6. Vorlage einer Bescheinigung über die Aussetzung der Abschiebung nach § 60a Absatz 4 des Aufenthaltsgesetzes oder</w:t>
      </w:r>
    </w:p>
    <w:p>
      <w:pPr>
        <w:ind w:left="420"/>
      </w:pPr>
      <w:r>
        <w:t xml:space="preserve">7. Vorlage eines Auszugs aus dem Handels- oder Genossenschaftsregister oder einem vergleichbaren amtlichen Register oder Verzeichnis, der Gründungsdokumente oder gleichwertiger beweiskräftiger Dokumente oder durch Einsichtnahme in diese Register oder Verzeichnisse und Abgleich mit den darin enthaltenen Daten, sofern es sich bei dem Anschlussinhaber um eine juristische Person oder Personengesellschaft handelt,</w:t>
      </w:r>
    </w:p>
    <w:p>
      <w:r>
        <w:t xml:space="preserve">soweit die Daten in den vorgelegten Dokumenten oder eingesehenen Registern oder Verzeichnissen enthalten sind. Die Überprüfung kann auch durch andere geeignete Verfahren erfolgen; die Bundesnetzagentur legt nach Anhörung der betroffenen Kreise durch Verfügung im Amtsblatt fest, welche anderen Verfahren zur Überprüfung geeignet sind, wobei jeweils zum Zwecke der Identifikation vor Freischaltung der vertraglich vereinbarten Mobilfunkdienstleistung ein Dokument im Sinne des Satzes 3 genutzt werden muss. Bei der Überprüfung ist die Art des eingesetzten Verfahrens zu speichern; bei Überprüfung mittels eines Dokumentes im Sinne des Satzes 3 Nummer 1 bis 6 sind ferner Angaben zu Art, Nummer und ausstellender Stelle zu speichern. Für die Identifizierung anhand eines elektronischen Identitätsnachweises nach § 18 des Personalausweisgesetzes, nach § 12 des eID-Karte-Gesetzes oder nach § 78 Absatz 5 des Aufenthaltsgesetzes gilt § 8 Absatz 2 Satz 4 des Geldwäschegesetzes entsprechend. Für das Auskunftsverfahren nach § 113 ist die Form der Datenspeicherung freigestellt.</w:t>
      </w:r>
    </w:p>
    <w:p>
      <w:r>
        <w:t xml:space="preserve">(2) Die Verpflichtung zur unverzüglichen Speicherung nach Absatz 1 Satz 1 gilt hinsichtlich der Daten nach Absatz 1 Satz 1 Nummer 1 und 2 entsprechend für denjenigen, der geschäftsmäßig einen öffentlich zugänglichen Dienst der elektronischen Post erbringt und dabei Daten nach Absatz 1 Satz 1 Nummer 1 und 2 erhebt, wobei an die Stelle der Daten nach Absatz 1 Satz 1 Nummer 1 die Kennungen der elektronischen Postfächer und an die Stelle des Anschlussinhabers nach Absatz 1 Satz 1 Nummer 2 der Inhaber des elektronischen Postfachs tritt.</w:t>
      </w:r>
    </w:p>
    <w:p>
      <w:r>
        <w:t xml:space="preserve">(3) Wird dem Verpflichteten nach Absatz 1 Satz 1 oder Absatz 2 eine Änderung bekannt, hat er die Daten unverzüglich zu berichtigen. In diesem Zusammenhang hat der nach Absatz 1 Satz 1 Verpflichtete bisher noch nicht erhobene Daten zu erheben und zu speichern, sofern ihm eine Erhebung der Daten ohne besonderen Aufwand möglich ist.</w:t>
      </w:r>
    </w:p>
    <w:p>
      <w:r>
        <w:t xml:space="preserve">(4) Bedient sich ein Diensteanbieter zur Erhebung der Daten nach Absatz 1 Satz 1 und Absatz 2 eines Dritten, bleibt er für die Erfüllung der Pflichten nach Absatz 1 Satz 1 und Absatz 2 verantwortlich. Werden dem Dritten im Rahmen des üblichen Geschäftsablaufes Änderungen der Daten nach Absatz 1 Satz 1 und Absatz 2 bekannt, hat er diese dem Diensteanbieter unverzüglich zu übermitteln.</w:t>
      </w:r>
    </w:p>
    <w:p>
      <w:r>
        <w:t xml:space="preserve">(5) Die Daten nach den Absätzen 1 und 2 sind mit Ablauf des auf die Beendigung des Vertragsverhältnisses folgenden Kalenderjahres zu löschen.</w:t>
      </w:r>
    </w:p>
    <w:p>
      <w:r>
        <w:t xml:space="preserve">(6) Eine Entschädigung für die Datenerhebung und -speicherung wird nicht gewährt.</w:t>
      </w:r>
    </w:p>
    <w:p>
      <w:r>
        <w:rPr>
          <w:color w:val="555555"/>
          <w:sz w:val="17"/>
        </w:rPr>
        <w:t xml:space="preserve">Zitiervorschlag: § 111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