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 TKG 2004 — Notruf</w:t>
      </w:r>
    </w:p>
    <w:p>
      <w:r>
        <w:rPr>
          <w:color w:val="555555"/>
          <w:sz w:val="18"/>
        </w:rPr>
        <w:t xml:space="preserve">Telekommunikationsgesetz</w:t>
      </w:r>
    </w:p>
    <w:p>
      <w:r>
        <w:rPr>
          <w:color w:val="555555"/>
          <w:sz w:val="18"/>
        </w:rPr>
        <w:t xml:space="preserve">Historische Fassung: Stand 04.07.2020 bis 01.12.2021. Dies ist nicht die aktuelle Fassung.</w:t>
      </w:r>
    </w:p>
    <w:p>
      <w:r>
        <w:t xml:space="preserve">(1) Wer öffentlich zugängliche Telekommunikationsdienste für das Führen von ausgehenden Inlandsgesprächen zu einer oder mehreren Nummern des nationalen Telefonnummernplanes bereitstellt, hat Vorkehrungen zu treffen, damit Endnutzern unentgeltliche Verbindungen möglich sind, die entweder durch die Wahl der europaeinheitlichen Notrufnummer 112 oder der zusätzlichen nationalen Notrufnummer 110 oder durch das Aussenden entsprechender Signalisierungen eingeleitet werden (Notrufverbindungen). Wer derartige öffentlich zugängliche Telekommunikationsdienste erbringt, den Zugang zu solchen Diensten ermöglicht oder Telekommunikationsnetze betreibt, die für diese Dienste einschließlich der Durchleitung von Anrufen genutzt werden, hat gemäß Satz 4 sicherzustellen oder im notwendigen Umfang daran mitzuwirken, dass Notrufverbindungen unverzüglich zu der örtlich zuständigen Notrufabfragestelle hergestellt werden, und er hat alle erforderlichen Maßnahmen zu treffen, damit Notrufverbindungen jederzeit möglich sind. Die Diensteanbieter nach den Sätzen 1 und 2 haben gemäß Satz 6 sicherzustellen, dass der Notrufabfragestelle auch Folgendes mit der Notrufverbindung übermittelt wird:</w:t>
      </w:r>
    </w:p>
    <w:p>
      <w:pPr>
        <w:ind w:left="420"/>
      </w:pPr>
      <w:r>
        <w:t xml:space="preserve">1. die Rufnummer des Anschlusses, von dem die Notrufverbindung ausgeht, und</w:t>
      </w:r>
    </w:p>
    <w:p>
      <w:pPr>
        <w:ind w:left="420"/>
      </w:pPr>
      <w:r>
        <w:t xml:space="preserve">2. die Daten, die zur Ermittlung des Standortes erforderlich sind, von dem die Notrufverbindung ausgeht.</w:t>
      </w:r>
    </w:p>
    <w:p>
      <w:r>
        <w:t xml:space="preserve">Notrufverbindungen sind vorrangig vor anderen Verbindungen herzustellen, sie stehen vorrangigen Verbindungen nach dem Post- und Telekommunikationssicherstellungsgesetz gleich. Daten, die nach Maßgabe der Rechtsverordnung nach Absatz 3 zur Verfolgung von Missbrauch des Notrufs erforderlich sind, dürfen auch verzögert an die Notrufabfragestelle übermittelt werden. Die Übermittlung der Daten nach den Sätzen 3 und 5 erfolgt unentgeltlich. Die für Notrufverbindungen entstehenden Kosten trägt jeder Diensteanbieter selbst; die Entgeltlichkeit von Vorleistungen bleibt unberührt.</w:t>
      </w:r>
    </w:p>
    <w:p>
      <w:r>
        <w:t xml:space="preserve">(2) Im Hinblick auf Notrufverbindungen, die durch sprach- oder hörbehinderte Endnutzer unter Verwendung eines Telefaxgerätes eingeleitet werden, gilt Absatz 1 entsprechend.</w:t>
      </w:r>
    </w:p>
    <w:p>
      <w:r>
        <w:t xml:space="preserve">(3) Das Bundesministerium für Wirtschaft und Energie wird ermächtigt, im Einvernehmen mit dem Bundesministerium des Innern, für Bau und Heimat, dem Bundesministerium für Verkehr und digitale Infrastruktur und dem Bundesministerium für Arbeit und Soziales durch Rechtsverordnung mit Zustimmung des Bundesrates Regelungen zu treffen</w:t>
      </w:r>
    </w:p>
    <w:p>
      <w:pPr>
        <w:ind w:left="420"/>
      </w:pPr>
      <w:r>
        <w:t xml:space="preserve">1. zu den Grundsätzen der Festlegung von Einzugsgebieten von Notrufabfragestellen und deren Unterteilungen durch die für den Notruf zuständigen Landes- und Kommunalbehörden sowie zu den Grundsätzen des Abstimmungsverfahrens zwischen diesen Behörden und den betroffenen Teilnehmernetzbetreibern und Mobilfunknetzbetreibern, soweit diese Grundsätze für die Herstellung von Notrufverbindungen erforderlich sind,</w:t>
      </w:r>
    </w:p>
    <w:p>
      <w:pPr>
        <w:ind w:left="420"/>
      </w:pPr>
      <w:r>
        <w:t xml:space="preserve">2. zur Herstellung von Notrufverbindungen zur jeweils örtlich zuständigen Notrufabfragestelle oder Ersatznotrufabfragestelle,</w:t>
      </w:r>
    </w:p>
    <w:p>
      <w:pPr>
        <w:ind w:left="420"/>
      </w:pPr>
      <w:r>
        <w:t xml:space="preserve">3. zum Umfang der für Notrufverbindungen zu erbringenden Leistungsmerkmale, einschließlich</w:t>
      </w:r>
    </w:p>
    <w:p>
      <w:pPr>
        <w:ind w:left="780"/>
      </w:pPr>
      <w:r>
        <w:t xml:space="preserve">a) der Übermittlung der Daten nach Absatz 1 Satz 3 und</w:t>
      </w:r>
    </w:p>
    <w:p>
      <w:pPr>
        <w:ind w:left="780"/>
      </w:pPr>
      <w:r>
        <w:t xml:space="preserve">b) zulässiger Abweichungen hinsichtlich der nach Absatz 1 Satz 3 Nummer 1 zu übermittelnden Daten in unausweichlichen technisch bedingten Sonderfällen,</w:t>
      </w:r>
    </w:p>
    <w:p>
      <w:pPr>
        <w:ind w:left="420"/>
      </w:pPr>
      <w:r>
        <w:t xml:space="preserve">4. zur Bereitstellung und Übermittlung von Daten, die geeignet sind, der Notrufabfragestelle die Verfolgung von Missbrauch des Notrufs zu ermöglichen,</w:t>
      </w:r>
    </w:p>
    <w:p>
      <w:pPr>
        <w:ind w:left="420"/>
      </w:pPr>
      <w:r>
        <w:t xml:space="preserve">5. zum Herstellen von Notrufverbindungen mittels automatischer Wählgeräte und</w:t>
      </w:r>
    </w:p>
    <w:p>
      <w:pPr>
        <w:ind w:left="420"/>
      </w:pPr>
      <w:r>
        <w:t xml:space="preserve">6. zu den Aufgaben der Bundesnetzagentur auf den in den Nummern 1 bis 5 aufgeführten Gebieten, insbesondere im Hinblick auf die Festlegung von Kriterien für die Genauigkeit und Zuverlässigkeit der Daten, die zur Ermittlung des Standortes erforderlich sind, von dem die Notrufverbindung ausgeht.</w:t>
      </w:r>
    </w:p>
    <w:p>
      <w:r>
        <w:t xml:space="preserve">Landesrechtliche Regelungen über Notrufabfragestellen bleiben von den Vorschriften dieses Absatzes insofern unberührt, als sie nicht Verpflichtungen im Sinne von Absatz 1 betreffen.</w:t>
      </w:r>
    </w:p>
    <w:p>
      <w:r>
        <w:t xml:space="preserve">(4) Die technischen Einzelheiten zu den in Absatz 3 Satz 1 Nummer 1 bis 5 aufgeführten Gegenständen, insbesondere die Kriterien für die Genauigkeit und Zuverlässigkeit der Angaben zu dem Standort, von dem die Notrufverbindung ausgeht, legt die Bundesnetzagentur in einer Technischen Richtlinie fest; dabei berücksichtigt sie die Vorschriften der Verordnung nach Absatz 3. Die Bundesnetzagentur erstellt die Richtlinie unter Beteiligung</w:t>
      </w:r>
    </w:p>
    <w:p>
      <w:pPr>
        <w:ind w:left="420"/>
      </w:pPr>
      <w:r>
        <w:t xml:space="preserve">1. der Verbände der durch Absatz 1 Satz 1 und 2 und Absatz 2 betroffenen Diensteanbieter und Betreiber von Telekommunikationsnetzen,</w:t>
      </w:r>
    </w:p>
    <w:p>
      <w:pPr>
        <w:ind w:left="420"/>
      </w:pPr>
      <w:r>
        <w:t xml:space="preserve">2. der vom Bundesministerium des Innern, für Bau und Heimat benannten Vertreter der Betreiber von Notrufabfragestellen und</w:t>
      </w:r>
    </w:p>
    <w:p>
      <w:pPr>
        <w:ind w:left="420"/>
      </w:pPr>
      <w:r>
        <w:t xml:space="preserve">3. der Hersteller der in den Telekommunikationsnetzen und Notrufabfragestellen eingesetzten technischen Einrichtungen.</w:t>
      </w:r>
    </w:p>
    <w:p>
      <w:r>
        <w:t xml:space="preserve">Bei den Festlegungen in der Technischen Richtlinie sind internationale Standards zu berücksichtigen; Abweichungen von den Standards sind zu begründen. Die Technische Richtlinie ist von der Bundesnetzagentur auf ihrer Internetseite zu veröffentlichen; die Veröffentlichung hat die Bundesnetzagentur in ihrem Amtsblatt bekannt zu machen. Die Verpflichteten nach Absatz 1 Satz 1 bis 3 und Absatz 2 haben die Anforderungen der Technischen Richtlinie spätestens ein Jahr nach deren Bekanntmachung zu erfüllen, sofern dort für bestimmte Verpflichtungen kein längerer Übergangszeitraum festgelegt ist. Nach dieser Richtlinie gestaltete mängelfreie technische Einrichtungen müssen im Falle einer Änderung der Richtlinie spätestens drei Jahre nach deren Inkrafttreten die geänderten Anforderungen erfüllen.</w:t>
      </w:r>
    </w:p>
    <w:p>
      <w:r>
        <w:rPr>
          <w:color w:val="555555"/>
          <w:sz w:val="17"/>
        </w:rPr>
        <w:t xml:space="preserve">Zitiervorschlag: § 108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