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107 TKG 2004 — Nachrichtenübermittlungssysteme mit Zwischenspeicherung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Der Diensteanbieter darf bei Diensten, für deren Durchführung eine Zwischenspeicherung erforderlich ist, Nachrichteninhalte, insbesondere Sprach-, Ton-, Text- und Grafikmitteilungen von Teilnehmern, im Rahmen eines hierauf gerichteten Diensteangebots unter folgenden Voraussetzungen verarbeiten:</w:t>
      </w:r>
    </w:p>
    <w:p>
      <w:pPr>
        <w:ind w:left="420"/>
      </w:pPr>
      <w:r>
        <w:t xml:space="preserve">1. Die Verarbeitung erfolgt ausschließlich in Telekommunikationsanlagen des zwischenspeichernden Diensteanbieters, es sei denn, die Nachrichteninhalte werden im Auftrag des Teilnehmers oder durch Eingabe des Teilnehmers in Telekommunikationsanlagen anderer Diensteanbieter weitergeleitet.</w:t>
      </w:r>
    </w:p>
    <w:p>
      <w:pPr>
        <w:ind w:left="420"/>
      </w:pPr>
      <w:r>
        <w:t xml:space="preserve">2. Ausschließlich der Teilnehmer bestimmt durch seine Eingabe Inhalt, Umfang und Art der Verarbeitung.</w:t>
      </w:r>
    </w:p>
    <w:p>
      <w:pPr>
        <w:ind w:left="420"/>
      </w:pPr>
      <w:r>
        <w:t xml:space="preserve">3. Ausschließlich der Teilnehmer bestimmt, wer Nachrichteninhalte eingeben und darauf zugreifen darf (Zugriffsberechtigter).</w:t>
      </w:r>
    </w:p>
    <w:p>
      <w:pPr>
        <w:ind w:left="420"/>
      </w:pPr>
      <w:r>
        <w:t xml:space="preserve">4. Der Diensteanbieter darf dem Teilnehmer mitteilen, dass der Empfänger auf die Nachricht zugegriffen hat.</w:t>
      </w:r>
    </w:p>
    <w:p>
      <w:pPr>
        <w:ind w:left="420"/>
      </w:pPr>
      <w:r>
        <w:t xml:space="preserve">5. Der Diensteanbieter darf Nachrichteninhalte nur entsprechend dem mit dem Teilnehmer geschlossenen Vertrag löschen.</w:t>
      </w:r>
    </w:p>
    <w:p>
      <w:r>
        <w:t xml:space="preserve">(2) Der Diensteanbieter hat die erforderlichen technischen und organisatorischen Maßnahmen zu treffen, um Fehlübermittlungen und das unbefugte Offenbaren von Nachrichteninhalten innerhalb seines Unternehmens oder an Dritte auszuschließen. Erforderlich sind Maßnahmen nur, wenn ihr Aufwand in einem angemessenen Verhältnis zu dem angestrebten Schutzzweck steht. Soweit es im Hinblick auf den angestrebten Schutzzweck erforderlich ist, sind die Maßnahmen dem jeweiligen Stand der Technik anzupassen.</w:t>
      </w:r>
    </w:p>
    <w:p>
      <w:r>
        <w:rPr>
          <w:color w:val="555555"/>
          <w:sz w:val="17"/>
        </w:rPr>
        <w:t xml:space="preserve">Zitiervorschlag: § 107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https://recht.nulegal.eu/gesetze/TKG%202004/107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