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TKG 2004 — Zweck des Gesetzes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Historische Fassung: Stand 10.06.2019 bis 01.12.2021. Dies ist nicht die aktuelle Fassung.</w:t>
      </w:r>
    </w:p>
    <w:p>
      <w:r>
        <w:t xml:space="preserve">Zweck dieses Gesetzes ist es, durch technologieneutrale Regulierung den Wettbewerb im Bereich der Telekommunikation und leistungsfähige Telekommunikationsinfrastrukturen zu fördern und flächendeckend angemessene und ausreichende Dienstleistungen zu gewährleisten.</w:t>
      </w:r>
    </w:p>
    <w:p>
      <w:r>
        <w:rPr>
          <w:color w:val="555555"/>
          <w:sz w:val="17"/>
        </w:rPr>
        <w:t xml:space="preserve">Zitiervorschlag: § 1 TKG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https://recht.nulegal.eu/gesetze/TKG%202004/1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