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TKEMVFuAÜbertrV — Reichweite der Befugnisse der Bundesnetzagentur</w:t>
      </w:r>
    </w:p>
    <w:p>
      <w:r>
        <w:rPr>
          <w:color w:val="555555"/>
          <w:sz w:val="18"/>
        </w:rPr>
        <w:t xml:space="preserve">TKG-EMVG-FuAG-Übertragungsverordnung</w:t>
      </w:r>
    </w:p>
    <w:p>
      <w:r>
        <w:rPr>
          <w:color w:val="555555"/>
          <w:sz w:val="18"/>
        </w:rPr>
        <w:t xml:space="preserve">Stand: 10.06.2019 (konsolidierte Textfassung, kein amtliches Inkrafttretensdatum)</w:t>
      </w:r>
    </w:p>
    <w:p>
      <w:r>
        <w:t xml:space="preserve">(1) Die Bundesnetzagentur für Elektrizität, Gas, Telekommunikation, Post und Eisenbahnen darf die Befugnis, Verordnungen auf der Grundlage der in den §§ 1 bis 3 dieser Verordnung genannten Ermächtigungen zu erlassen, nur ausüben, soweit die von den beabsichtigten Verordnungsregelungen erfassten Sachverhalte nicht in den Anwendungsbereich einer vom Bundesministerium für Wirtschaft und Energie erlassenen Verordnung fallen.</w:t>
      </w:r>
    </w:p>
    <w:p>
      <w:r>
        <w:t xml:space="preserve">(2) Erlässt das Bundesministerium für Wirtschaft und Energie eine Verordnung, deren Anwendungsbereich Sachverhalte erfasst, die bereits vom Anwendungsbereich einer Verordnung der Bundesnetzagentur für Elektrizität, Gas, Telekommunikation, Post und Eisenbahnen erfasst werden, die auf der Grundlage der in den §§ 1 bis 3 dieser Verordnung genannten Ermächtigungen erlassen worden ist, so gilt die Verordnung des Bundesministeriums für Wirtschaft und Energie, soweit sich die Anwendungsbereiche der beiden Verordnungen überschneiden.</w:t>
      </w:r>
    </w:p>
    <w:p>
      <w:r>
        <w:rPr>
          <w:color w:val="555555"/>
          <w:sz w:val="17"/>
        </w:rPr>
        <w:t xml:space="preserve">Zitiervorschlag: § 4 TKEMVFuAÜbertrV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https://recht.nulegal.eu/gesetze/TKEMVFuA%C3%9CbertrV/4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