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TKEMVFuAÜbertrV — Übertragung von Verordnungsermächtigungen nach dem Funkanlagengesetz</w:t>
      </w:r>
    </w:p>
    <w:p>
      <w:r>
        <w:rPr>
          <w:color w:val="555555"/>
          <w:sz w:val="18"/>
        </w:rPr>
        <w:t xml:space="preserve">TKG-EMVG-FuAG-Übertragungsverordnung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Bundesnetzagentur für Elektrizität, Gas, Telekommunikation, Post und Eisenbahnen wird ermächtigt, Rechtsverordnungen nach Maßgabe des § 35 Absatz 4 Satz 1 des Funkanlagengesetzes zu erlassen.</w:t>
      </w:r>
    </w:p>
    <w:p>
      <w:r>
        <w:rPr>
          <w:color w:val="555555"/>
          <w:sz w:val="17"/>
        </w:rPr>
        <w:t xml:space="preserve">Zitiervorschlag: § 3 TKEMVFuAÜbertrV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https://recht.nulegal.eu/gesetze/TKEMVFuA%C3%9CbertrV/3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