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TKÜV 2005 — Übermittlung der Überwachungskopie</w:t>
      </w:r>
    </w:p>
    <w:p>
      <w:r>
        <w:rPr>
          <w:color w:val="555555"/>
          <w:sz w:val="18"/>
        </w:rPr>
        <w:t xml:space="preserve">Telekommunikations-Überwachungsverordnung</w:t>
      </w:r>
    </w:p>
    <w:p>
      <w:r>
        <w:rPr>
          <w:color w:val="555555"/>
          <w:sz w:val="18"/>
        </w:rPr>
        <w:t xml:space="preserve">Stand: 10.06.2019 (konsolidierte Textfassung, kein amtliches Inkrafttretensdatum)</w:t>
      </w:r>
    </w:p>
    <w:p>
      <w:r>
        <w:t xml:space="preserve">(1) Die Übermittlung der Überwachungskopie einschließlich der Daten nach § 7 Absatz 1 Satz 1 sowie der Referenznummern und Zuordnungsnummern nach § 7 Absatz 2 vom Übergabepunkt an die berechtigte Stelle soll über öffentliche Telekommunikationsnetze erfolgen. Dem Verpflichteten werden hierzu von der berechtigten Stelle für jede zu überwachende Kennung die Aufzeichnungsanschlüsse benannt, an die die Überwachungskopie zu übermitteln ist und die so gestaltet sind, dass sie Überwachungskopien mehrerer gleichzeitig stattfindender zu überwachender Telekommunikationen einer zu überwachenden Kennung entgegennehmen können. Die Rufnummern oder anderen Adressierungsangaben der Aufzeichnungsanschlüsse können voneinander abweichen, wenn die Kopie der zu überwachenden Telekommunikationsinhalte und die zugehörigen Daten nach § 7 Absatz 1 Satz 1 einschließlich der Referenznummern und Zuordnungsnummern nach § 7 Absatz 2 über voneinander getrennte Wege oder über Netze mit unterschiedlicher Technologie übermittelt werden. Die Inanspruchnahme der öffentlichen Telekommunikationsnetze für die Übermittlung der Überwachungskopie ist auf die hierfür erforderliche Zeitdauer zu begrenzen.</w:t>
      </w:r>
    </w:p>
    <w:p>
      <w:r>
        <w:t xml:space="preserve">(2) (weggefallen)</w:t>
      </w:r>
    </w:p>
    <w:p>
      <w:r>
        <w:t xml:space="preserve">(3) Maßnahmen zum Schutz der zu übermittelnden Überwachungskopie richten sich nach § 14.</w:t>
      </w:r>
    </w:p>
    <w:p>
      <w:r>
        <w:rPr>
          <w:color w:val="555555"/>
          <w:sz w:val="17"/>
        </w:rPr>
        <w:t xml:space="preserve">Zitiervorschlag: § 9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