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TKÜV 2005 — Bereitzustellende Daten</w:t>
      </w:r>
    </w:p>
    <w:p>
      <w:r>
        <w:rPr>
          <w:color w:val="555555"/>
          <w:sz w:val="18"/>
        </w:rPr>
        <w:t xml:space="preserve">Telekommunikations-Überwachungsverordnung</w:t>
      </w:r>
    </w:p>
    <w:p>
      <w:r>
        <w:rPr>
          <w:color w:val="555555"/>
          <w:sz w:val="18"/>
        </w:rPr>
        <w:t xml:space="preserve">Stand: 10.06.2019 (konsolidierte Textfassung, kein amtliches Inkrafttretensdatum)</w:t>
      </w:r>
    </w:p>
    <w:p>
      <w:r>
        <w:t xml:space="preserve">(1) Der Verpflichtete hat der berechtigten Stelle als Teil der Überwachungskopie auch die folgenden bei ihm vorhandenen Daten bereitzustellen, auch wenn die Übermittlung von Telekommunikationsinhalten nicht zustande kommt:</w:t>
      </w:r>
    </w:p>
    <w:p>
      <w:pPr>
        <w:ind w:left="420"/>
      </w:pPr>
      <w:r>
        <w:t xml:space="preserve">1. die zu überwachende Kennung;</w:t>
      </w:r>
    </w:p>
    <w:p>
      <w:pPr>
        <w:ind w:left="420"/>
      </w:pPr>
      <w:r>
        <w:t xml:space="preserve">2. in Fällen, in denen die Telekommunikation von der zu überwachenden Kennung ausgeht,</w:t>
      </w:r>
    </w:p>
    <w:p>
      <w:pPr>
        <w:ind w:left="780"/>
      </w:pPr>
      <w:r>
        <w:t xml:space="preserve">a) die jeweils gewählte Rufnummer oder andere Adressierungsangabe, auch wenn diese bei vorzeitiger Beendigung eines im Telekommunikationsnetz begonnenen Telekommunikationsversuches unvollständig bleibt und</w:t>
      </w:r>
    </w:p>
    <w:p>
      <w:pPr>
        <w:ind w:left="780"/>
      </w:pPr>
      <w:r>
        <w:t xml:space="preserve">b) sofern die zu überwachende Telekommunikation an ein anderes als das von dem Nutzer der zu überwachenden Kennung gewählte Ziel um- oder weitergeleitet wird, auch die Rufnummer oder andere Adressierungsangabe des Um- oder Weiterleitungsziels, bei mehrfach gestaffelten Um- oder Weiterleitungen die Rufnummern oder anderen Adressierungsangaben der einzelnen Um- oder Weiterleitungsziele;</w:t>
      </w:r>
    </w:p>
    <w:p>
      <w:pPr>
        <w:ind w:left="420"/>
      </w:pPr>
      <w:r>
        <w:t xml:space="preserve">3. in Fällen, in denen die zu überwachende Kennung Ziel der Telekommunikation ist, die Rufnummer oder andere Adressierungsangabe, von der die zu überwachende Telekommunikation ausgeht, auch wenn die Telekommunikation an eine andere, der zu überwachenden Kennung aktuell zugeordnete Zieladresse um- oder weitergeleitet wird oder das Ziel eine der zu überwachenden Kennung zugeordnete Speichereinrichtung ist;</w:t>
      </w:r>
    </w:p>
    <w:p>
      <w:pPr>
        <w:ind w:left="420"/>
      </w:pPr>
      <w:r>
        <w:t xml:space="preserve">4. in Fällen, in denen die zu überwachende Kennung zeitweise einem beliebigen Telekommunikationsanschluss zugeordnet ist, auch die diesem Anschluss fest zugeordnete Rufnummer oder andere Adressierungsangabe;</w:t>
      </w:r>
    </w:p>
    <w:p>
      <w:pPr>
        <w:ind w:left="420"/>
      </w:pPr>
      <w:r>
        <w:t xml:space="preserve">5. in Fällen, in denen der Nutzer für eine bestimmte Telekommunikation ein Dienstmerkmal in Anspruch nimmt, die Angabe dieses Dienstmerkmals einschließlich dessen Kenngrößen, soweit diese Angaben in dem Netzknoten vorhanden sind, in dem die Anordnung umgesetzt wird;</w:t>
      </w:r>
    </w:p>
    <w:p>
      <w:pPr>
        <w:ind w:left="420"/>
      </w:pPr>
      <w:r>
        <w:t xml:space="preserve">6. Angaben über die technische Ursache für die Beendigung der zu überwachenden Telekommunikation oder für das Nichtzustandekommen einer von der zu überwachenden Kennung veranlassten Telekommunikation, soweit diese Angaben in dem Netzknoten vorhanden sind, in dem die Anordnung umgesetzt wird;</w:t>
      </w:r>
    </w:p>
    <w:p>
      <w:pPr>
        <w:ind w:left="420"/>
      </w:pPr>
      <w:r>
        <w:t xml:space="preserve">7. bei einer zu überwachenden Kennung, deren Nutzung nicht ortsgebunden ist, Angaben zum Standort des Endgerätes mit der größtmöglichen Genauigkeit, die in dem das Endgerät versorgenden Netz für diesen Standort üblicherweise zur Verfügung steht; zur Umsetzung von Anordnungen, durch die Angaben zum Standort des empfangsbereiten, der zu überwachenden Kennung zugeordneten Endgerätes verlangt werden, hat der Verpflichtete seine Überwachungseinrichtungen so zu gestalten, dass sie diese Angaben automatisch erfassen und an die berechtigte Stelle weiterleiten;</w:t>
      </w:r>
    </w:p>
    <w:p>
      <w:pPr>
        <w:ind w:left="420"/>
      </w:pPr>
      <w:r>
        <w:t xml:space="preserve">8. Angaben zur Zeit (auf der Grundlage der amtlichen Zeit), zu der die zu überwachende Telekommunikation stattgefunden hat,</w:t>
      </w:r>
    </w:p>
    <w:p>
      <w:pPr>
        <w:ind w:left="780"/>
      </w:pPr>
      <w:r>
        <w:t xml:space="preserve">a) in Fällen, in denen die zu überwachende Telekommunikation über physikalische oder logische Kanäle übermittelt wird (verbindungsorientierte Telekommunikation), mindestens zwei der folgenden Angaben:</w:t>
      </w:r>
    </w:p>
    <w:p>
      <w:pPr>
        <w:ind w:left="1140"/>
      </w:pPr>
      <w:r>
        <w:t xml:space="preserve">aa) Datum und Uhrzeit des Beginns der Telekommunikation oder des Telekommunikationsversuchs,</w:t>
      </w:r>
    </w:p>
    <w:p>
      <w:pPr>
        <w:ind w:left="1140"/>
      </w:pPr>
      <w:r>
        <w:t xml:space="preserve">bb) Datum und Uhrzeit des Endes der Telekommunikation,</w:t>
      </w:r>
    </w:p>
    <w:p>
      <w:pPr>
        <w:ind w:left="1140"/>
      </w:pPr>
      <w:r>
        <w:t xml:space="preserve">cc) Dauer der Telekommunikation,</w:t>
      </w:r>
    </w:p>
    <w:p>
      <w:pPr>
        <w:ind w:left="780"/>
      </w:pPr>
      <w:r>
        <w:t xml:space="preserve">b) in Fällen, in denen die zu überwachende Telekommunikation nicht über physikalische oder logische Kanäle übermittelt wird (verbindungslose Telekommunikation), die Zeitpunkte mit Datum und Uhrzeit, zu denen die einzelnen Bestandteile der zu überwachenden Telekommunikation an die zu überwachende Kennung oder von der zu überwachenden Kennung gesendet werden;</w:t>
      </w:r>
    </w:p>
    <w:p>
      <w:pPr>
        <w:ind w:left="420"/>
      </w:pPr>
      <w:r>
        <w:t xml:space="preserve">9. die der Telekommunikationsanlage des Verpflichteten bekannten öffentlichen Internetprotokoll-Adressen der beteiligten Nutzer;</w:t>
      </w:r>
    </w:p>
    <w:p>
      <w:pPr>
        <w:ind w:left="420"/>
      </w:pPr>
      <w:r>
        <w:t xml:space="preserve">10. die der Telekommunikationsanlage des Verpflichteten bekannten Kodierungen, die bei der Übermittlung der überwachten Telekommunikation verwendet werden.</w:t>
      </w:r>
    </w:p>
    <w:p>
      <w:r>
        <w:t xml:space="preserve">Daten zur Anzeige des Entgelts, das für die von der zu überwachenden Kennung geführte Telekommunikation anfällt, sind nicht an die berechtigte Stelle zu übermitteln, auch wenn diese Daten an das von der zu überwachenden Kennung genutzte Endgerät übermittelt werden. Auf die wiederholte Übermittlung von Ansagen oder vergleichbaren Daten kann verzichtet werden, solange diese Daten unverändert bleiben.</w:t>
      </w:r>
    </w:p>
    <w:p>
      <w:r>
        <w:t xml:space="preserve">(2) Der Verpflichtete hat jede bereitgestellte Überwachungskopie und die Daten nach Absatz 1 Satz 1 durch die von der berechtigten Stelle vorgegebene Referenznummer der jeweiligen Überwachungsmaßnahme zu bezeichnen. Der Verpflichtete hat jeden Teil der Überwachungskopie und die zugehörigen Daten nach Absatz 1 Satz 1 zusätzlich durch eine Zuordnungsnummer zu kennzeichnen.</w:t>
      </w:r>
    </w:p>
    <w:p>
      <w:r>
        <w:t xml:space="preserve">(3) In Fällen, in denen die Überwachungseinrichtungen so gestaltet sind, dass die Kopie des Inhalts der zu überwachenden Telekommunikation getrennt von den durch die Referenznummer gekennzeichneten Daten nach Absatz 1 Satz 1 bereitgestellt werden, sind der berechtigten Stelle ausschließlich diese Daten zu übermitteln, sofern dies im Einzelfall in der Anordnung ausdrücklich bestimmt wird.</w:t>
      </w:r>
    </w:p>
    <w:p>
      <w:r>
        <w:t xml:space="preserve">(4) Die Absätze 1 bis 3 gelten auch für die Überwachung der Telekommunikation,</w:t>
      </w:r>
    </w:p>
    <w:p>
      <w:pPr>
        <w:ind w:left="420"/>
      </w:pPr>
      <w:r>
        <w:t xml:space="preserve">1. solange die zu überwachende Kennung an einer Telekommunikation mit mehr als einer Gegenstelle beteiligt ist,</w:t>
      </w:r>
    </w:p>
    <w:p>
      <w:pPr>
        <w:ind w:left="420"/>
      </w:pPr>
      <w:r>
        <w:t xml:space="preserve">2. wenn unter der zu überwachenden Kennung gleichzeitig mehrere Telekommunikationen stattfinden.</w:t>
      </w:r>
    </w:p>
    <w:p>
      <w:r>
        <w:t xml:space="preserve">(5) Die Anforderungen nach den Absätzen 1 bis 4 gelten unabhängig von der der jeweiligen Telekommunikationsanlage zu Grunde liegenden Technologie. Die Gestaltung hat der Verpflichtete entsprechend seiner Telekommunikationsanlage festzulegen.</w:t>
      </w:r>
    </w:p>
    <w:p>
      <w:r>
        <w:rPr>
          <w:color w:val="555555"/>
          <w:sz w:val="17"/>
        </w:rPr>
        <w:t xml:space="preserve">Zitiervorschlag: § 7 TKÜV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https://recht.nulegal.eu/gesetze/TK%C3%9CV%202005/7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