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TKÜV 2005 — Grundsätze</w:t>
      </w:r>
    </w:p>
    <w:p>
      <w:r>
        <w:rPr>
          <w:color w:val="555555"/>
          <w:sz w:val="18"/>
        </w:rPr>
        <w:t xml:space="preserve">Telekommunikations-Überwachungsverordnung</w:t>
      </w:r>
    </w:p>
    <w:p>
      <w:r>
        <w:rPr>
          <w:color w:val="555555"/>
          <w:sz w:val="18"/>
        </w:rPr>
        <w:t xml:space="preserve">Stand: 09.04.2021 (konsolidierte Textfassung, kein amtliches Inkrafttretensdatum)</w:t>
      </w:r>
    </w:p>
    <w:p>
      <w:r>
        <w:t xml:space="preserve">(1) Die zu überwachende Telekommunikation umfasst bei Überwachungsmaßnahmen nach § 100a Absatz 1 Satz 1 der Strafprozessordnung, dem § 3 des Artikel 10-Gesetzes, dem § 72 Absatz 1, 2 und 4 des Zollfahndungsdienstgesetzes, § 51 Absatz 1 des Bundeskriminalamtgesetzes oder nach Landesrecht die Telekommunikation, die</w:t>
      </w:r>
    </w:p>
    <w:p>
      <w:pPr>
        <w:ind w:left="420"/>
      </w:pPr>
      <w:r>
        <w:t xml:space="preserve">1. von der zu überwachenden Kennung ausgeht,</w:t>
      </w:r>
    </w:p>
    <w:p>
      <w:pPr>
        <w:ind w:left="420"/>
      </w:pPr>
      <w:r>
        <w:t xml:space="preserve">2. für die zu überwachende Kennung bestimmt ist,</w:t>
      </w:r>
    </w:p>
    <w:p>
      <w:pPr>
        <w:ind w:left="420"/>
      </w:pPr>
      <w:r>
        <w:t xml:space="preserve">3. in eine Speichereinrichtung, die der zu überwachenden Kennung zugeordnet ist, eingestellt oder aus dieser abgerufen wird oder</w:t>
      </w:r>
    </w:p>
    <w:p>
      <w:pPr>
        <w:ind w:left="420"/>
      </w:pPr>
      <w:r>
        <w:t xml:space="preserve">4. (weggefallen)</w:t>
      </w:r>
    </w:p>
    <w:p>
      <w:pPr>
        <w:ind w:left="420"/>
      </w:pPr>
      <w:r>
        <w:t xml:space="preserve">5. zu einer der zu überwachenden Kennung aktuell zugeordneten anderen Zieladresse um- oder weitergeleitet wird,</w:t>
      </w:r>
    </w:p>
    <w:p>
      <w:r>
        <w:t xml:space="preserve">und besteht aus dem Inhalt und den Daten über die näheren Umstände der Telekommunikation.</w:t>
      </w:r>
    </w:p>
    <w:p>
      <w:r>
        <w:t xml:space="preserve">(2) Zur technischen Umsetzung einer Anordnung hat der Verpflichtete der berechtigten Stelle am Übergabepunkt eine vollständige Kopie der durch die zu überwachende Kennung bezeichneten Telekommunikation bereitzustellen, die über seine Telekommunikationsanlage abgewickelt wird. Dabei hat er sicherzustellen, dass die bereitgestellten Daten ausschließlich die durch die Anordnung bezeichnete Telekommunikation enthalten. Bei Zusammenschaltungen mit Telekommunikationsnetzen anderer Betreiber hat er sicherzustellen, dass die Daten nach § 7 Absatz 1 Satz 1 Nummer 3 im Rahmen der technischen Möglichkeiten übergeben werden. Satz 1 gilt nicht für Telekommunikation, die in rundfunkähnlicher Weise für alle Nutzer gleichermaßen und unverändert übermittelt und vom Verpflichteten selbst eingespeist wird.</w:t>
      </w:r>
    </w:p>
    <w:p>
      <w:r>
        <w:t xml:space="preserve">(3) Der Verpflichtete hat sicherzustellen, dass er die Umsetzung einer Anordnung eigenverantwortlich vornehmen kann. In diesem Rahmen ist die Wahrnehmung der im Überwachungsfall erforderlichen Tätigkeiten durch einen Erfüllungsgehilfen zulässig, der jedoch nicht der berechtigten Stelle angehören darf.</w:t>
      </w:r>
    </w:p>
    <w:p>
      <w:r>
        <w:t xml:space="preserve">(4) Der Verpflichtete hat sicherzustellen, dass die technische Umsetzung einer Anordnung weder von den an der Telekommunikation Beteiligten noch von Dritten feststellbar ist. Insbesondere dürfen die Betriebsmöglichkeiten des Telekommunikationsanschlusses, der durch die zu überwachende Kennung genutzt wird, durch die technische Umsetzung einer Anordnung nicht verändert werden.</w:t>
      </w:r>
    </w:p>
    <w:p>
      <w:r>
        <w:t xml:space="preserve">(5) Der Verpflichtete hat der berechtigten Stelle unmittelbar nach Abschluss der für die technische Umsetzung einer Anordnung erforderlichen Tätigkeiten den tatsächlichen Einrichtungszeitpunkt sowie die tatsächlich betroffene Kennung mitzuteilen. Dies gilt entsprechend für die Übermittlung einer Information zum Zeitpunkt der Beendigung einer Überwachungsmaßnahme.</w:t>
      </w:r>
    </w:p>
    <w:p>
      <w:r>
        <w:t xml:space="preserve">(6) Der Verpflichtete hat Engpässe, die bei gleichzeitiger Durchführung mehrerer Überwachungsmaßnahmen auftreten, unverzüglich zu beseitigen.</w:t>
      </w:r>
    </w:p>
    <w:p>
      <w:r>
        <w:rPr>
          <w:color w:val="555555"/>
          <w:sz w:val="17"/>
        </w:rPr>
        <w:t xml:space="preserve">Zitiervorschlag: § 5 TKÜV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https://recht.nulegal.eu/gesetze/TK%C3%9CV%202005/5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