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TKÜV 2005 — Übergangsvorschrift</w:t>
      </w:r>
    </w:p>
    <w:p>
      <w:r>
        <w:rPr>
          <w:color w:val="555555"/>
          <w:sz w:val="18"/>
        </w:rPr>
        <w:t xml:space="preserve">Telekommunikations-Überwachungsverordnung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Für Überwachungseinrichtungen, für die bereits eine Genehmigung nach § 19 der Telekommunikations-Überwachungsverordnung vom 22. Januar 2002 (BGBl. I S. 458), zuletzt geändert durch Artikel 3 Absatz 18 des Gesetzes vom 7. Juli 2005 (BGBl. I S. 1970), oder das Einvernehmen nach § 16 der Fernmeldeverkehr-Überwachungs-Verordnung vom 18. Mai 1995 (BGBl. I S. 722), geändert durch Artikel 4 des Gesetzes vom 26. Juni 2001 (BGBl. I S. 1254), erteilt wurde, ist kein Nachweis nach § 19 erforderlich, sofern die Auflagen aus der Genehmigung erfüllt werden; § 170 Absatz 8 des Telekommunikationsgesetzes bleibt unberührt.</w:t>
      </w:r>
    </w:p>
    <w:p>
      <w:r>
        <w:rPr>
          <w:color w:val="555555"/>
          <w:sz w:val="17"/>
        </w:rPr>
        <w:t xml:space="preserve">Zitiervorschlag: § 37 TKÜV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https://recht.nulegal.eu/gesetze/TK%C3%9CV%202005/37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