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TKÜV 2005 — Anforderungen an Aufzeichnungsanschlüsse</w:t>
      </w:r>
    </w:p>
    <w:p>
      <w:r>
        <w:rPr>
          <w:color w:val="555555"/>
          <w:sz w:val="18"/>
        </w:rPr>
        <w:t xml:space="preserve">Telekommunikations-Überwachungsverordnung</w:t>
      </w:r>
    </w:p>
    <w:p>
      <w:r>
        <w:rPr>
          <w:color w:val="555555"/>
          <w:sz w:val="18"/>
        </w:rPr>
        <w:t xml:space="preserve">Stand: 01.12.2021 (konsolidierte Textfassung, kein amtliches Inkrafttretensdatum)</w:t>
      </w:r>
    </w:p>
    <w:p>
      <w:r>
        <w:t xml:space="preserve">(1) Der nach § 170 Absatz 9 des Telekommunikationsgesetzes verpflichtete Betreiber hat der berechtigten Stelle auf Antrag die von ihr benötigten Aufzeichnungsanschlüsse unverzüglich und in dringenden Fällen vorrangig bereitzustellen. Zur Sicherstellung der Erreichbarkeit dieser Anschlüsse und zum Schutz vor falschen Übermittlungen sind geeignete technische Maßnahmen gemäß § 14 Absatz 2 vorzusehen.</w:t>
      </w:r>
    </w:p>
    <w:p>
      <w:r>
        <w:t xml:space="preserve">(2) Der nach § 170 Absatz 9 des Telekommunikationsgesetzes verpflichtete Betreiber hat im Störungsfall die unverzügliche und vorrangige Entstörung der Anschlüsse nach Absatz 1 sicherzustellen.</w:t>
      </w:r>
    </w:p>
    <w:p>
      <w:r>
        <w:rPr>
          <w:color w:val="555555"/>
          <w:sz w:val="17"/>
        </w:rPr>
        <w:t xml:space="preserve">Zitiervorschlag: § 24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https://recht.nulegal.eu/gesetze/TK%C3%9CV%202005/24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