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TIntG (Nordrhein-Westfalen) — Teilhabe in Gremien</w:t>
      </w:r>
    </w:p>
    <w:p>
      <w:r>
        <w:rPr>
          <w:color w:val="555555"/>
          <w:sz w:val="18"/>
        </w:rPr>
        <w:t xml:space="preserve">Teilhabe- und Integrationsgesetz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In allen Gremien des Landes, die einen Bezug zu Belangen der Menschen mit Einwanderungsgeschichte aufweisen, sollen Menschen mit Einwanderungsgeschichte angemessen vertreten sein. Dabei ist § 12 des Landesgleichstellungsgesetzes vom 9. November 1999 (GV. NRW. S. 590), das zuletzt durch Artikel 16 des Gesetzes vom 23. Januar 2018 (GV. NRW. S. 90) geändert worden ist, zu beachten.</w:t>
      </w:r>
    </w:p>
    <w:p>
      <w:r>
        <w:rPr>
          <w:color w:val="555555"/>
          <w:sz w:val="17"/>
        </w:rPr>
        <w:t xml:space="preserve">Zitiervorschlag: § 5 TIntG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https://recht.nulegal.eu/gesetze/TIntG/5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