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TIntG (Nordrhein-Westfalen) — Menschen mit Einwanderungsgeschichte</w:t>
      </w:r>
    </w:p>
    <w:p>
      <w:r>
        <w:rPr>
          <w:color w:val="555555"/>
          <w:sz w:val="18"/>
        </w:rPr>
        <w:t xml:space="preserve">Teilhabe- und Integrationsgesetz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Menschen mit Einwanderungsgeschichte im Sinne dieses Gesetzes sind</w:t>
      </w:r>
    </w:p>
    <w:p>
      <w:r>
        <w:t xml:space="preserve">1. Personen, die nicht Deutsche im Sinne des Artikel 116 Absatz 1 des Grundgesetzes für die Bundesrepublik Deutschland sind oder</w:t>
      </w:r>
    </w:p>
    <w:p>
      <w:r>
        <w:t xml:space="preserve">2. außerhalb des heutigen Gebietes der Bundesrepublik Deutschland geborene und nach dem 31. Dezember 1955 nach Deutschland eingewanderte Personen oder</w:t>
      </w:r>
    </w:p>
    <w:p>
      <w:r>
        <w:t xml:space="preserve">3. Personen, bei denen mindestens ein Elternteil die Kriterien der Nummer 2 erfüllt.</w:t>
      </w:r>
    </w:p>
    <w:p>
      <w:r>
        <w:rPr>
          <w:color w:val="555555"/>
          <w:sz w:val="17"/>
        </w:rPr>
        <w:t xml:space="preserve">Zitiervorschlag: § 4 TIntG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https://recht.nulegal.eu/gesetze/TIntG/4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