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TIntG (Nordrhein-Westfalen) — Personenkreis</w:t>
      </w:r>
    </w:p>
    <w:p>
      <w:r>
        <w:rPr>
          <w:color w:val="555555"/>
          <w:sz w:val="18"/>
        </w:rPr>
        <w:t xml:space="preserve">Teilhabe- und Integrationsgesetz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Neu eingewanderte Personen im Sinne der §§ 15 bis 17 sind:</w:t>
      </w:r>
    </w:p>
    <w:p>
      <w:r>
        <w:t xml:space="preserve">1. Spätaussiedlerinnen und Spätaussiedler im Sinne von § 4 Absatz 1 und 2 des Bundesvertriebenengesetzes in der Fassung der Bekanntmachung vom 10. August 2007 (BGBl. I S. 1902), das zuletzt durch Artikel 162 der Verordnung vom 19. Juni 2020 (BGBl. I S. 1328) geändert worden ist, und deren Familienangehörige im Sinne von § 7 Absatz 2 des Bundesvertriebenengesetzes,</w:t>
      </w:r>
    </w:p>
    <w:p>
      <w:r>
        <w:t xml:space="preserve">2. Eingewanderte, die als Ausländerinnen oder als Ausländer mit einer oder einem Spätausgesiedelten im Aufnahmeverfahren eingereist, vom Bundesverwaltungsamt registriert und verteilt worden sind,</w:t>
      </w:r>
    </w:p>
    <w:p>
      <w:r>
        <w:t xml:space="preserve">3. Ausländerinnen und Ausländer im Sinne von § 23 Absatz 2 des Aufenthaltsgesetzes in der Fassung der Bekanntmachung vom 25. Februar 2008 (BGBl. I S. 162), das zuletzt durch Artikel 10 des Gesetzes vom 9. Dezember 2020 (BGBl. I S. 2855) geändert worden ist,</w:t>
      </w:r>
    </w:p>
    <w:p>
      <w:r>
        <w:t xml:space="preserve">4. Schutzsuchende im Sinne von § 23 Absatz 4 des Aufenthaltsgesetzes sowie</w:t>
      </w:r>
    </w:p>
    <w:p>
      <w:r>
        <w:t xml:space="preserve">5. Ausländerinnen und Ausländer im Sinne von § 22 des Aufenthaltsgesetzes.</w:t>
      </w:r>
    </w:p>
    <w:p>
      <w:r>
        <w:rPr>
          <w:color w:val="555555"/>
          <w:sz w:val="17"/>
        </w:rPr>
        <w:t xml:space="preserve">Zitiervorschlag: § 14 TIntG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https://recht.nulegal.eu/gesetze/TIntG/14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