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TIntG (Nordrhein-Westfalen) — Vertretung auf Landesebene</w:t>
      </w:r>
    </w:p>
    <w:p>
      <w:r>
        <w:rPr>
          <w:color w:val="555555"/>
          <w:sz w:val="18"/>
        </w:rPr>
        <w:t xml:space="preserve">Teilhabe- und Integrationsgesetz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fördert die Arbeit der von den kommunalen Integrationsräten und Integrations-ausschüssen gebildeten Vertretung der Menschen mit Einwanderungsgeschichte auf Landesebene, den Landesintegrationsrat Nordrhein-Westfalen, durch finanzielle Zuwendungen.</w:t>
      </w:r>
    </w:p>
    <w:p>
      <w:r>
        <w:t xml:space="preserve">(2) Das Land hört die Vertretungen der Menschen mit Einwanderungsgeschichte bei der Erfüllung der Integrationsaufgaben an.</w:t>
      </w:r>
    </w:p>
    <w:p>
      <w:r>
        <w:t xml:space="preserve">(3) Bei dem für Vertriebenen- und Aussiedlerfragen zuständigen Ministerium wird ein Landesbeirat für Vertriebenen-, Flüchtlings- und Spätaussiedlerfragen gebildet.</w:t>
      </w:r>
    </w:p>
    <w:p>
      <w:r>
        <w:t xml:space="preserve">(4) Das Nähere zu Absatz 3 regelt das für Vertriebenen- und Aussiedlerfragen zuständige Ministerium nach Anhörung des für Integration und des für Kultur zuständigen Ausschusses des Landtags durch Rechtsverordnung.</w:t>
      </w:r>
    </w:p>
    <w:p>
      <w:r>
        <w:rPr>
          <w:color w:val="555555"/>
          <w:sz w:val="17"/>
        </w:rPr>
        <w:t xml:space="preserve">Zitiervorschlag: § 13 TIntG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https://recht.nulegal.eu/gesetze/TIntG/13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