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THWAbrV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Stand: 01.11.2021 (konsolidierte Textfassung, kein amtliches Inkrafttretensdatum)</w:t>
      </w:r>
    </w:p>
    <w:p>
      <w:r>
        <w:t xml:space="preserve">Auf Grund des § 6 Absatz 3 des THW-Gesetzes, der durch Artikel 1 Nummer 5 des Gesetzes vom 15. April 2020 (BGBl. I S. 808) neu gefasst worden ist, verordnet das Bundesministerium des Innern, für Bau und Heimat:</w:t>
      </w:r>
    </w:p>
    <w:p>
      <w:r>
        <w:rPr>
          <w:color w:val="555555"/>
          <w:sz w:val="17"/>
        </w:rPr>
        <w:t xml:space="preserve">Zitiervorschlag: Eingangsformel THWAbrV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https://recht.nulegal.eu/gesetze/THWAbrV/eingangsformel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