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THWAbrV — Inkrafttreten, Außerkrafttreten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Stand: 01.11.2021 (konsolidierte Textfassung, kein amtliches Inkrafttretensdatum)</w:t>
      </w:r>
    </w:p>
    <w:p>
      <w:r>
        <w:t xml:space="preserve">Diese Verordnung tritt am ersten Tag des auf die Verkündung folgenden Kalendermonats in Kraft. Gleichzeitig tritt die THW-Abrechnungsverordnung vom 13. Dezember 2012 (BGBl. I S. 2674), die durch Artikel 143 der Verordnung vom 19. Juni 2020 (BGBl. I S. 1328) geändert worden ist, außer Kraft.</w:t>
      </w:r>
    </w:p>
    <w:p>
      <w:r>
        <w:rPr>
          <w:color w:val="555555"/>
          <w:sz w:val="17"/>
        </w:rPr>
        <w:t xml:space="preserve">Zitiervorschlag: § 6 THWAbrV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https://recht.nulegal.eu/gesetze/THWAbrV/6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