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THWAbrV — Regelungsgegenstand</w:t>
      </w:r>
    </w:p>
    <w:p>
      <w:r>
        <w:rPr>
          <w:color w:val="555555"/>
          <w:sz w:val="18"/>
        </w:rPr>
        <w:t xml:space="preserve">THW-Abrechnungsverordnung</w:t>
      </w:r>
    </w:p>
    <w:p>
      <w:r>
        <w:rPr>
          <w:color w:val="555555"/>
          <w:sz w:val="18"/>
        </w:rPr>
        <w:t xml:space="preserve">Stand: 01.11.2021 (konsolidierte Textfassung, kein amtliches Inkrafttretensdatum)</w:t>
      </w:r>
    </w:p>
    <w:p>
      <w:r>
        <w:t xml:space="preserve">Diese Verordnung regelt die Bemessung, Abrechnung und Festsetzung der Auslagen und Gebühren für technische Unterstützungsleistungen des Technischen Hilfswerks.</w:t>
      </w:r>
    </w:p>
    <w:p>
      <w:r>
        <w:rPr>
          <w:color w:val="555555"/>
          <w:sz w:val="17"/>
        </w:rPr>
        <w:t xml:space="preserve">Zitiervorschlag: § 1 THWAbrV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https://recht.nulegal.eu/gesetze/THWAbrV/1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