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THW-MitwV — Begründung des Dienstverhältnisses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Historische Fassung: Stand 10.06.2019 bis 01.11.2023. Dies ist nicht die aktuelle Fassung.</w:t>
      </w:r>
    </w:p>
    <w:p>
      <w:r>
        <w:t xml:space="preserve">(1) Die Aufnahme in das Dienstverhältnis zum Technischen Hilfswerk erfolgt auf schriftlichen Antrag.</w:t>
      </w:r>
    </w:p>
    <w:p>
      <w:r>
        <w:t xml:space="preserve">(2) Die schriftliche Annahme des Antrages begründet das Dienstverhältnis. Die Nichtannahme bedarf keiner Begründung. Die Annahme erfolgt nicht, wenn Tatsachen vorliegen, die nach § 6 Absatz 1 zur Beendigung des Dienstverhältnisses führen würden.</w:t>
      </w:r>
    </w:p>
    <w:p>
      <w:r>
        <w:rPr>
          <w:color w:val="555555"/>
          <w:sz w:val="17"/>
        </w:rPr>
        <w:t xml:space="preserve">Zitiervorschlag: § 2 THW-MitwV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https://recht.nulegal.eu/gesetze/THW-MitwV/2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