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1b THW-HelfRG — Forschung</w:t>
      </w:r>
    </w:p>
    <w:p>
      <w:r>
        <w:rPr>
          <w:color w:val="555555"/>
          <w:sz w:val="18"/>
        </w:rPr>
        <w:t xml:space="preserve">THW-Gesetz</w:t>
      </w:r>
    </w:p>
    <w:p>
      <w:r>
        <w:rPr>
          <w:color w:val="555555"/>
          <w:sz w:val="18"/>
        </w:rPr>
        <w:t xml:space="preserve">Stand: 03.05.2020 (konsolidierte Textfassung, kein amtliches Inkrafttretensdatum)</w:t>
      </w:r>
    </w:p>
    <w:p>
      <w:r>
        <w:t xml:space="preserve">Das Technische Hilfswerk beteiligt sich an internationalen, supranationalen und nationalen Forschungsprojekten zu Fragestellungen in den Bereichen Rettungswesen, Katastrophenschutz und Zivilschutz.</w:t>
      </w:r>
    </w:p>
    <w:p>
      <w:r>
        <w:rPr>
          <w:color w:val="555555"/>
          <w:sz w:val="17"/>
        </w:rPr>
        <w:t xml:space="preserve">Zitiervorschlag: § 1b THW-HelfRG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https://recht.nulegal.eu/gesetze/THW-HelfRG/1b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