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THW-AbrV</w:t>
      </w:r>
    </w:p>
    <w:p>
      <w:r>
        <w:rPr>
          <w:color w:val="555555"/>
          <w:sz w:val="18"/>
        </w:rPr>
        <w:t xml:space="preserve">THW-Abrechnungsverordnung</w:t>
      </w:r>
    </w:p>
    <w:p>
      <w:r>
        <w:rPr>
          <w:color w:val="555555"/>
          <w:sz w:val="18"/>
        </w:rPr>
        <w:t xml:space="preserve">Historische Fassung: Stand 10.06.2019 bis 01.11.2021. Dies ist nicht die aktuelle Fassung.</w:t>
      </w:r>
    </w:p>
    <w:p>
      <w:r>
        <w:t xml:space="preserve">Auf Grund des § 6 Absatz 3 des THW-Gesetzes, der durch Artikel 1 Nummer 7 des Gesetzes vom 29. Juli 2009 (BGBl. I S. 2350) neu gefasst worden ist, verordnet das Bundesministerium des Innern:</w:t>
      </w:r>
    </w:p>
    <w:p>
      <w:r>
        <w:rPr>
          <w:color w:val="555555"/>
          <w:sz w:val="17"/>
        </w:rPr>
        <w:t xml:space="preserve">Zitiervorschlag: Eingangsformel THW-AbrV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https://recht.nulegal.eu/gesetze/THW-AbrV/eingangsformel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