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THW-AbrV — Sonstige Regelungen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Historische Fassung: Stand 05.07.2020 bis 01.11.2021. Dies ist nicht die aktuelle Fassung.</w:t>
      </w:r>
    </w:p>
    <w:p>
      <w:r>
        <w:t xml:space="preserve">(1) Das Technische Hilfswerk regelt nähere Einzelheiten im Einvernehmen mit dem Bundesministerium des Innern, für Bau und Heimat durch Verwaltungsvorschrift.</w:t>
      </w:r>
    </w:p>
    <w:p>
      <w:r>
        <w:t xml:space="preserve">(2) Die Geltung der §§ 59, 61 und 63 der Bundeshaushaltsordnung wird durch diese Rechtsverordnung nicht berührt. Dies gilt auch für die hierzu erlassene Verwaltungsvorschrift.</w:t>
      </w:r>
    </w:p>
    <w:p>
      <w:r>
        <w:t xml:space="preserve">(3) Die Beteiligungsrechte nach § 9 der Bundeshaushaltsordnung bleiben unberührt.</w:t>
      </w:r>
    </w:p>
    <w:p>
      <w:r>
        <w:rPr>
          <w:color w:val="555555"/>
          <w:sz w:val="17"/>
        </w:rPr>
        <w:t xml:space="preserve">Zitiervorschlag: § 6 THW-AbrV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https://recht.nulegal.eu/gesetze/THW-AbrV/6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