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THAMNV — Ordnungswidrigkeiten</w:t>
      </w:r>
    </w:p>
    <w:p>
      <w:r>
        <w:rPr>
          <w:color w:val="555555"/>
          <w:sz w:val="18"/>
        </w:rPr>
        <w:t xml:space="preserve">Tierhalter-Arzneimittelanwendungs- und 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97 Absatz 2 Nummer 31 des Arzneimittelgesetzes handelt, wer vorsätzlich oder fahrlässig</w:t>
      </w:r>
    </w:p>
    <w:p>
      <w:pPr>
        <w:ind w:left="420"/>
      </w:pPr>
      <w:r>
        <w:t xml:space="preserve">1. entgegen § 1 Absatz 1 Satz 1 oder Absatz 4 Satz 1 oder § 3 Absatz 1 Satz 1 einen Nachweis nicht, nicht richtig oder nicht vollständig führt oder</w:t>
      </w:r>
    </w:p>
    <w:p>
      <w:pPr>
        <w:ind w:left="420"/>
      </w:pPr>
      <w:r>
        <w:t xml:space="preserve">2. entgegen § 1 Absatz 1 Satz 2 auch in Verbindung mit Absatz 4 Satz 2 einen Nachweis nicht, nicht in der vorgeschriebenen Weise oder nicht mindestens fünf Jahre aufbewahrt oder nicht oder nicht rechtzeitig vorlegt oder</w:t>
      </w:r>
    </w:p>
    <w:p>
      <w:pPr>
        <w:ind w:left="420"/>
      </w:pPr>
      <w:r>
        <w:t xml:space="preserve">3. entgegen § 3 Absatz 1 Satz 4 einen Nachweis nicht oder nicht mindestens fünf Jahre aufbewahrt oder nicht oder nicht rechtzeitig vorlegt.</w:t>
      </w:r>
    </w:p>
    <w:p>
      <w:r>
        <w:rPr>
          <w:color w:val="555555"/>
          <w:sz w:val="17"/>
        </w:rPr>
        <w:t xml:space="preserve">Zitiervorschlag: § 6 THAMNV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https://recht.nulegal.eu/gesetze/THAMNV/6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