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THAMNV — Anwendung von bestimmten Arzneimitteln zur oralen Anwendung bei Tieren, die der Gewinnung von Lebensmitteln dienen</w:t>
      </w:r>
    </w:p>
    <w:p>
      <w:r>
        <w:rPr>
          <w:color w:val="555555"/>
          <w:sz w:val="18"/>
        </w:rPr>
        <w:t xml:space="preserve">Tierhalter-Arzneimittelanwendungs- und 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Tierhalter haben durch geeignete Maßnahmen sicherzustellen, dass die in § 4 Absatz 1 genannten Arzneimittel nur bei den zu behandelnden Tieren angewendet werden.</w:t>
      </w:r>
    </w:p>
    <w:p>
      <w:r>
        <w:t xml:space="preserve">(2) Nach Beendigung der Anwendung der in § 4 Absatz 1 genannten Arzneimittel muss eine Reinigung der verwendeten Anlagen nach § 4 Absatz 1 und 2 erfolgen.</w:t>
      </w:r>
    </w:p>
    <w:p>
      <w:r>
        <w:rPr>
          <w:color w:val="555555"/>
          <w:sz w:val="17"/>
        </w:rPr>
        <w:t xml:space="preserve">Zitiervorschlag: § 5 THAMNV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https://recht.nulegal.eu/gesetze/THAMNV/5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