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THAMNV — Nachweise über Erwerb und Anwendung durch den Tierhalter</w:t>
      </w:r>
    </w:p>
    <w:p>
      <w:r>
        <w:rPr>
          <w:color w:val="555555"/>
          <w:sz w:val="18"/>
        </w:rPr>
        <w:t xml:space="preserve">Tierhalter-Arzneimittelanwendungs- und Nachweisverordnung</w:t>
      </w:r>
    </w:p>
    <w:p>
      <w:r>
        <w:rPr>
          <w:color w:val="555555"/>
          <w:sz w:val="18"/>
        </w:rPr>
        <w:t xml:space="preserve">Stand: 10.06.2019 (konsolidierte Textfassung, kein amtliches Inkrafttretensdatum)</w:t>
      </w:r>
    </w:p>
    <w:p>
      <w:r>
        <w:t xml:space="preserve">(1) Jeder, der Tiere hält, die der Gewinnung von Lebensmitteln dienen, hat über Erwerb und Anwendung der von ihm bezogenen, zur Anwendung bei diesen Tieren bestimmten und nicht für den Verkehr außerhalb der Apotheken freigegebenen Arzneimittel Nachweise nach Maßgabe des Absatzes 2 oder des Absatzes 3 zu führen. Die Nachweise sind in übersichtlicher und allgemein verständlicher Form zu führen, mindestens fünf Jahre vom Zeitpunkt ihrer Erstellung in dem Tierhaltungsbetrieb aufzubewahren, in dem die Tiere zum Zeitpunkt der Verabreichung des in Satz 1 genannten Tierarzneimittels jeweils gehalten worden sind, und der zuständigen Behörde auf Verlangen vorzulegen. Sie können auch als elektronisches Dokument geführt und aufbewahrt werden, sofern sichergestellt ist, dass die Daten während der Dauer der Aufbewahrung an dem in Satz 2 bezeichneten Ort verfügbar sind, jederzeit lesbar gemacht werden können und unveränderlich sind.</w:t>
      </w:r>
    </w:p>
    <w:p>
      <w:r>
        <w:t xml:space="preserve">(2) Nachweise im Sinne des Absatzes 1 über den Erwerb sind im Falle von</w:t>
      </w:r>
    </w:p>
    <w:p>
      <w:pPr>
        <w:ind w:left="420"/>
      </w:pPr>
      <w:r>
        <w:t xml:space="preserve">1. Fütterungsarzneimitteln die vom Hersteller mit dem Fütterungsarzneimittel übersandte erste Durchschrift der Verschreibung,</w:t>
      </w:r>
    </w:p>
    <w:p>
      <w:pPr>
        <w:ind w:left="420"/>
      </w:pPr>
      <w:r>
        <w:t xml:space="preserve">2. Arzneimitteln, die von einer Tierärztin oder einem Tierarzt abgegeben wurden, der Nachweis nach § 13 Absatz 1 Satz 2 und 3 der Verordnung über tierärztliche Hausapotheken,</w:t>
      </w:r>
    </w:p>
    <w:p>
      <w:pPr>
        <w:ind w:left="420"/>
      </w:pPr>
      <w:r>
        <w:t xml:space="preserve">3. Arzneimitteln, die aus Apotheken bezogen wurden und verschreibungspflichtig sind, das Original der Verschreibung,</w:t>
      </w:r>
    </w:p>
    <w:p>
      <w:pPr>
        <w:ind w:left="420"/>
      </w:pPr>
      <w:r>
        <w:t xml:space="preserve">4. sonstigen Arzneimitteln, besondere Aufzeichnungen oder Belege wie tierärztliche Verschreibungen, Rechnungen, Lieferscheine oder Warenbegleitscheine, aus denen sich Lieferant, Art und Menge der erworbenen Arzneimittel ergeben.</w:t>
      </w:r>
    </w:p>
    <w:p>
      <w:r>
        <w:t xml:space="preserve">(3) Nachweis im Sinne des Absatzes 1 über die Anwendung ist die Dokumentation nach § 2.</w:t>
      </w:r>
    </w:p>
    <w:p>
      <w:r>
        <w:t xml:space="preserve">(4) Jeder, der Tiere</w:t>
      </w:r>
    </w:p>
    <w:p>
      <w:pPr>
        <w:ind w:left="420"/>
      </w:pPr>
      <w:r>
        <w:t xml:space="preserve">1. in einem Tierheim oder einer ähnlichen Einrichtung hält, oder</w:t>
      </w:r>
    </w:p>
    <w:p>
      <w:pPr>
        <w:ind w:left="420"/>
      </w:pPr>
      <w:r>
        <w:t xml:space="preserve">2. gewerbsmäßig Wirbeltiere, ausgenommen Tiere, die der Gewinnung von Lebensmitteln dienen, züchtet oder hält oder vorübergehend für andere Betriebe oder Personen betreut,</w:t>
      </w:r>
    </w:p>
    <w:p>
      <w:r>
        <w:t xml:space="preserve">hat über den Erwerb verschreibungspflichtiger Arzneimittel, die für die Behandlung der in den Nummern 1 und 2 bezeichneten Tiere erworben worden sind, Nachweise über den Erwerb nach Maßgabe des Absatzes 5 zu führen. Absatz 1 Satz 2 und 3 gilt entsprechend.</w:t>
      </w:r>
    </w:p>
    <w:p>
      <w:r>
        <w:t xml:space="preserve">(5) Nachweise im Sinne des Absatzes 4 sind das Original der Verschreibung oder die tierärztliche Rechnung.</w:t>
      </w:r>
    </w:p>
    <w:p>
      <w:r>
        <w:rPr>
          <w:color w:val="555555"/>
          <w:sz w:val="17"/>
        </w:rPr>
        <w:t xml:space="preserve">Zitiervorschlag: § 1 THAMNV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https://recht.nulegal.eu/gesetze/THAMNV/1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