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THAKredG</w:t>
      </w:r>
    </w:p>
    <w:p>
      <w:r>
        <w:rPr>
          <w:color w:val="555555"/>
          <w:sz w:val="18"/>
        </w:rPr>
        <w:t xml:space="preserve">Treuhandkreditaufnahmegesetz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haftet für die von der Treuhandanstalt aufgenommenen Kredite.</w:t>
      </w:r>
    </w:p>
    <w:p>
      <w:r>
        <w:rPr>
          <w:color w:val="555555"/>
          <w:sz w:val="17"/>
        </w:rPr>
        <w:t xml:space="preserve">Zitiervorschlag: § 4 THAKredG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https://recht.nulegal.eu/gesetze/THAKredG/4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