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TGV 1986 — Anwendungsvorschrift</w:t>
      </w:r>
    </w:p>
    <w:p>
      <w:r>
        <w:rPr>
          <w:color w:val="555555"/>
          <w:sz w:val="18"/>
        </w:rPr>
        <w:t xml:space="preserve">Trennungsgeldverordnung</w:t>
      </w:r>
    </w:p>
    <w:p>
      <w:r>
        <w:rPr>
          <w:color w:val="555555"/>
          <w:sz w:val="18"/>
        </w:rPr>
        <w:t xml:space="preserve">Stand: 24.09.2024 (konsolidierte Textfassung, kein amtliches Inkrafttretensdatum)</w:t>
      </w:r>
    </w:p>
    <w:p>
      <w:r>
        <w:t xml:space="preserve">§ 5a ist bis einschließlich 31. Dezember 2028 anzuwenden.</w:t>
      </w:r>
    </w:p>
    <w:p>
      <w:r>
        <w:rPr>
          <w:color w:val="555555"/>
          <w:sz w:val="17"/>
        </w:rPr>
        <w:t xml:space="preserve">Zitiervorschlag: § 10 TGV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https://recht.nulegal.eu/gesetze/TGV%201986/10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