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TGV 1986 — Anwendungsbereich</w:t>
      </w:r>
    </w:p>
    <w:p>
      <w:r>
        <w:rPr>
          <w:color w:val="555555"/>
          <w:sz w:val="18"/>
        </w:rPr>
        <w:t xml:space="preserve">Trennungsgeldverordnung</w:t>
      </w:r>
    </w:p>
    <w:p>
      <w:r>
        <w:rPr>
          <w:color w:val="555555"/>
          <w:sz w:val="18"/>
        </w:rPr>
        <w:t xml:space="preserve">Stand: 01.06.2020 (konsolidierte Textfassung, kein amtliches Inkrafttretensdatum)</w:t>
      </w:r>
    </w:p>
    <w:p>
      <w:r>
        <w:t xml:space="preserve">(1) Berechtigte nach dieser Verordnung sind</w:t>
      </w:r>
    </w:p>
    <w:p>
      <w:pPr>
        <w:ind w:left="420"/>
      </w:pPr>
      <w:r>
        <w:t xml:space="preserve">1. Bundesbeamte und in den Bundesdienst abgeordnete Beamte,</w:t>
      </w:r>
    </w:p>
    <w:p>
      <w:pPr>
        <w:ind w:left="420"/>
      </w:pPr>
      <w:r>
        <w:t xml:space="preserve">2. Richter im Bundesdienst und in den Bundesdienst abgeordnete Richter und</w:t>
      </w:r>
    </w:p>
    <w:p>
      <w:pPr>
        <w:ind w:left="420"/>
      </w:pPr>
      <w:r>
        <w:t xml:space="preserve">3. Berufssoldaten und Soldaten auf Zeit.</w:t>
      </w:r>
    </w:p>
    <w:p>
      <w:r>
        <w:t xml:space="preserve">(2) Trennungsgeld wird gewährt aus Anlaß der</w:t>
      </w:r>
    </w:p>
    <w:p>
      <w:pPr>
        <w:ind w:left="420"/>
      </w:pPr>
      <w:r>
        <w:t xml:space="preserve">1. Versetzung aus dienstlichen Gründen,</w:t>
      </w:r>
    </w:p>
    <w:p>
      <w:pPr>
        <w:ind w:left="420"/>
      </w:pPr>
      <w:r>
        <w:t xml:space="preserve">2. Aufhebung einer Versetzung nach einem Umzug mit Zusage der Umzugskostenvergütung,</w:t>
      </w:r>
    </w:p>
    <w:p>
      <w:pPr>
        <w:ind w:left="420"/>
      </w:pPr>
      <w:r>
        <w:t xml:space="preserve">3. Verlegung der Beschäftigungsbehörde,</w:t>
      </w:r>
    </w:p>
    <w:p>
      <w:pPr>
        <w:ind w:left="420"/>
      </w:pPr>
      <w:r>
        <w:t xml:space="preserve">4. nicht nur vorübergehenden Zuteilung aus dienstlichen Gründen zu einem anderen Teil der Beschäftigungsbehörde,</w:t>
      </w:r>
    </w:p>
    <w:p>
      <w:pPr>
        <w:ind w:left="420"/>
      </w:pPr>
      <w:r>
        <w:t xml:space="preserve">5. Übertragung eines anderen Richteramtes nach § 32 Abs. 2 des Deutschen Richtergesetzes oder eines weiteren Richteramtes nach § 27 Abs. 2 des vorgenannten Gesetzes,</w:t>
      </w:r>
    </w:p>
    <w:p>
      <w:pPr>
        <w:ind w:left="420"/>
      </w:pPr>
      <w:r>
        <w:t xml:space="preserve">6. Abordnung oder Kommandierung, auch im Rahmen der Aus- und Fortbildung,</w:t>
      </w:r>
    </w:p>
    <w:p>
      <w:pPr>
        <w:ind w:left="420"/>
      </w:pPr>
      <w:r>
        <w:t xml:space="preserve">7. Zuweisung nach § 29 des Bundesbeamtengesetzes und § 20 des Beamtenstatusgesetzes,</w:t>
      </w:r>
    </w:p>
    <w:p>
      <w:pPr>
        <w:ind w:left="420"/>
      </w:pPr>
      <w:r>
        <w:t xml:space="preserve">8. vorübergehenden Zuteilung aus dienstlichen Gründen zu einem anderen Teil der Beschäftigungsbehörde,</w:t>
      </w:r>
    </w:p>
    <w:p>
      <w:pPr>
        <w:ind w:left="420"/>
      </w:pPr>
      <w:r>
        <w:t xml:space="preserve">9. vorübergehenden dienstlichen Tätigkeit bei einer anderen Stelle als einer Dienststelle,</w:t>
      </w:r>
    </w:p>
    <w:p>
      <w:pPr>
        <w:ind w:left="420"/>
      </w:pPr>
      <w:r>
        <w:t xml:space="preserve">10. Aufhebung oder Beendigung einer Maßnahme nach den Nummern 6 bis 9 nach einem Umzug mit Zusage der Umzugskostenvergütung,</w:t>
      </w:r>
    </w:p>
    <w:p>
      <w:pPr>
        <w:ind w:left="420"/>
      </w:pPr>
      <w:r>
        <w:t xml:space="preserve">11. Versetzung mit Zusage der Umzugskostenvergütung nach § 4 Abs. 2 Nr. 3 des Bundesumzugskostengesetzes,</w:t>
      </w:r>
    </w:p>
    <w:p>
      <w:pPr>
        <w:ind w:left="420"/>
      </w:pPr>
      <w:r>
        <w:t xml:space="preserve">12. Einstellung mit Zusage der Umzugskostenvergütung,</w:t>
      </w:r>
    </w:p>
    <w:p>
      <w:pPr>
        <w:ind w:left="420"/>
      </w:pPr>
      <w:r>
        <w:t xml:space="preserve">13. Einstellung ohne Zusage der Umzugskostenvergütung bei vorübergehender Dauer des Dienstverhältnisses, der vorübergehenden Verwendung am Einstellungsort oder während der Probezeit; die Gewährung von Trennungsgeld in diesen Fällen bedarf der Zustimmung der obersten Dienstbehörde oder der von ihr ermächtigten nachgeordneten Behörde,</w:t>
      </w:r>
    </w:p>
    <w:p>
      <w:pPr>
        <w:ind w:left="420"/>
      </w:pPr>
      <w:r>
        <w:t xml:space="preserve">14. Räumung einer Dienstwohnung auf dienstliche Weisung, solange der zur Führung eines Haushalts notwendige Teil der Wohnungseinrichtung untergestellt werden muß.</w:t>
      </w:r>
    </w:p>
    <w:p>
      <w:r>
        <w:t xml:space="preserve">(3) Trennungsgeld wird nur gewährt, wenn</w:t>
      </w:r>
    </w:p>
    <w:p>
      <w:pPr>
        <w:ind w:left="420"/>
      </w:pPr>
      <w:r>
        <w:t xml:space="preserve">1. bei Maßnahmen nach Absatz 2 Nr. 1 bis 13 der neue Dienstort ein anderer als der bisherige Dienstort ist und bei Maßnahmen nach Absatz 2 Nummer 1 bis 5 sowie den Nummern 10 bis 13 die Wohnung nicht im Einzugsgebiet (§ 3 Abs. 1 Nr. 1 Buchstabe c des Bundesumzugskostengesetzes) liegt,</w:t>
      </w:r>
    </w:p>
    <w:p>
      <w:pPr>
        <w:ind w:left="420"/>
      </w:pPr>
      <w:r>
        <w:t xml:space="preserve">2. bei Maßnahmen nach Absatz 2 Nr. 1 bis 5 der Berechtigte nicht unwiderruflich auf die Zusage der Umzugskostenvergütung verzichtet und dienstliche Gründe den Umzug nicht erfordern (§ 3 Abs. 1 Nr. 1 Buchstabe d des Bundesumzugskostengesetzes).</w:t>
      </w:r>
    </w:p>
    <w:p>
      <w:r>
        <w:t xml:space="preserve">(4) Die Absätze 2 und 3 gelten auch für im Grenzverkehr tätige Beamte im Bereich ausländischer Lokalgrenzbehörden, zwischen solchen Bereichen und zwischen diesen und dem Inland.</w:t>
      </w:r>
    </w:p>
    <w:p>
      <w:r>
        <w:rPr>
          <w:color w:val="555555"/>
          <w:sz w:val="17"/>
        </w:rPr>
        <w:t xml:space="preserve">Zitiervorschlag: § 1 TGV 1986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https://recht.nulegal.eu/gesetze/TGV%201986/1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