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TFoStS (Bayern) — Inkrafttreten</w:t>
      </w:r>
    </w:p>
    <w:p>
      <w:r>
        <w:rPr>
          <w:color w:val="555555"/>
          <w:sz w:val="18"/>
        </w:rPr>
        <w:t xml:space="preserve">Satzung der Bayerischen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Satzung tritt am 1. Februar 2016 in Kraft.</w:t>
      </w:r>
    </w:p>
    <w:p>
      <w:r>
        <w:rPr>
          <w:color w:val="555555"/>
          <w:sz w:val="17"/>
        </w:rPr>
        <w:t xml:space="preserve">Zitiervorschlag: § 8 TFoStS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https://recht.nulegal.eu/gesetze/TFoStS/8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