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TFoStG (Bayern) — Stiftungsvorstand</w:t>
      </w:r>
    </w:p>
    <w:p>
      <w:r>
        <w:rPr>
          <w:color w:val="555555"/>
          <w:sz w:val="18"/>
        </w:rPr>
        <w:t xml:space="preserve">Gesetz über die Bayerische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Stiftungsvorstand besteht aus je einem Vertreter der Staatskanzlei, des Staatsministeriums für Wissenschaft und Kunst, des Staatsministeriums der Finanzen und für Heimat sowie des Staatsministeriums für Wirtschaft, Landesentwicklung und Energie. Der Stiftungsvorstand bestimmt aus seiner Mitte einen Vorsitzenden und einen Stellvertreter.</w:t>
      </w:r>
    </w:p>
    <w:p>
      <w:r>
        <w:t xml:space="preserve">(2) Der Stiftungsvorstand kann Richtlinien im Bereich Transformation für die Vergabe von Stiftungsmitteln erlassen. Der Stiftungsvorstand führt die Geschäfte der laufenden Verwaltung. Im Bereich Forschung führt er diese entsprechend den Richtlinien und Beschlüssen des Stiftungsrats. Soweit der Bereich einzelner Staatsministerien im Bereich Forschung berührt ist, entscheidet der Stiftungsvorstand einstimmig. Der Vorsitzende des Stiftungsvorstands vertritt die Stiftung gerichtlich und außergerichtlich.</w:t>
      </w:r>
    </w:p>
    <w:p>
      <w:r>
        <w:t xml:space="preserve">(3) Der Vorstand bedient sich einer Geschäftsstelle. Sie wird von einem Geschäftsführer geleitet, der nach Maßgabe der Satzung auch Vertretungsaufgaben wahrnehmen kann. Der Vorstand beruft einen ehrenamtlichen Präsidenten.</w:t>
      </w:r>
    </w:p>
    <w:p>
      <w:r>
        <w:rPr>
          <w:color w:val="555555"/>
          <w:sz w:val="17"/>
        </w:rPr>
        <w:t xml:space="preserve">Zitiervorschlag: Art 7 TFoStG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