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TFoStG (Bayern) — Stiftungsmittel</w:t>
      </w:r>
    </w:p>
    <w:p>
      <w:r>
        <w:rPr>
          <w:color w:val="555555"/>
          <w:sz w:val="18"/>
        </w:rPr>
        <w:t xml:space="preserve">Gesetz über die Bayerische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Stiftung erfüllt ihre Aufgabe im Bereich Forschung aus den zum Ablauf des 30. April 2025 vorhandenen Stiftungsmitteln, vom Freistaat Bayern gewährten Zuschüssen, etwaigen Zustiftungen, die nicht unter Art. 3 Abs. 1 fallen, sowie aus den laufenden Erträgen des Stiftungsvermögens.</w:t>
      </w:r>
    </w:p>
    <w:p>
      <w:r>
        <w:t xml:space="preserve">(2) Aus den Mitteln nach Abs. 1 werden auch die Aufwendungen für die allgemeine Verwaltung getragen, soweit nicht in der Satzung eine anderweitige Regelung getroffen wird.</w:t>
      </w:r>
    </w:p>
    <w:p>
      <w:r>
        <w:rPr>
          <w:color w:val="555555"/>
          <w:sz w:val="17"/>
        </w:rPr>
        <w:t xml:space="preserve">Zitiervorschlag: Art 4 TFoStG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