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TFoStG (Bayern) — Stiftungsvermögen</w:t>
      </w:r>
    </w:p>
    <w:p>
      <w:r>
        <w:rPr>
          <w:color w:val="555555"/>
          <w:sz w:val="18"/>
        </w:rPr>
        <w:t xml:space="preserve">Gesetz über die Bayerische Transformations- und Forschungsstiftung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Stiftungsvermögen besteht aus</w:t>
      </w:r>
    </w:p>
    <w:p>
      <w:r>
        <w:t xml:space="preserve">1. dem zum Ablauf des 30. April 2025 vorhandenen Kapitalstocks samt nach diesem Tag eintretenden Wertveränderungen und</w:t>
      </w:r>
    </w:p>
    <w:p>
      <w:r>
        <w:t xml:space="preserve">2. Zustiftungen ab dem 1. Mai 2025 mit dem Zweck der Verwendung für Vorhaben der Transformation.</w:t>
      </w:r>
    </w:p>
    <w:p>
      <w:r>
        <w:t xml:space="preserve">(2) Das Stiftungsvermögen soll für die Förderung standortrelevanter Transformationsvorhaben im Sinne des Art. 2 Abs. 2 Satz 2 verbraucht werden. Das Nähere regelt die Satzung.</w:t>
      </w:r>
    </w:p>
    <w:p>
      <w:r>
        <w:rPr>
          <w:color w:val="555555"/>
          <w:sz w:val="17"/>
        </w:rPr>
        <w:t xml:space="preserve">Zitiervorschlag: Art 3 TFoStG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https://recht.nulegal.eu/gesetze/TFoStG/3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