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TFoStG (Bayern) — Verbrauchsstiftung</w:t>
      </w:r>
    </w:p>
    <w:p>
      <w:r>
        <w:rPr>
          <w:color w:val="555555"/>
          <w:sz w:val="18"/>
        </w:rPr>
        <w:t xml:space="preserve">Gesetz über die Bayerische Transformations- und Forschungsstiftung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mit Inkrafttreten dieses Gesetzes errichtete rechtsfähige Stiftung des öffentlichen Rechts besteht ab dem 1. Mai 2025 als Verbrauchsstiftung für mindestens zehn Jahre und führt den Namen „Bayerische Transformations- und Forschungsstiftung“.</w:t>
      </w:r>
    </w:p>
    <w:p>
      <w:r>
        <w:rPr>
          <w:color w:val="555555"/>
          <w:sz w:val="17"/>
        </w:rPr>
        <w:t xml:space="preserve">Zitiervorschlag: Art 1 TFoStG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https://recht.nulegal.eu/gesetze/TFoStG/1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