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TFGMV</w:t>
      </w:r>
    </w:p>
    <w:p>
      <w:r>
        <w:rPr>
          <w:color w:val="555555"/>
          <w:sz w:val="18"/>
        </w:rPr>
        <w:t xml:space="preserve">Transfusionsgesetz-Meldeverordnung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23 des Transfusionsgesetzes vom 1. Juli 1998 (BGBl. I S. 1752) verordnet das Bundesministerium für Gesundheit nach Anhörung von Sachverständigen:</w:t>
      </w:r>
    </w:p>
    <w:p>
      <w:r>
        <w:rPr>
          <w:color w:val="555555"/>
          <w:sz w:val="17"/>
        </w:rPr>
        <w:t xml:space="preserve">Zitiervorschlag: Eingangsformel TFGMV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https://recht.nulegal.eu/gesetze/TFGMV/eingangsformel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