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TFGMV — Übergangsvorschrift aus Anlass des Gesetzes zur Fortschreibung der Vorschriften für Blut- und Gewebezubereitungen und zur Änderung anderer Vorschriften</w:t>
      </w:r>
    </w:p>
    <w:p>
      <w:r>
        <w:rPr>
          <w:color w:val="555555"/>
          <w:sz w:val="18"/>
        </w:rPr>
        <w:t xml:space="preserve">Transfusionsgesetz-Meldeverordnung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 Absatz 4 ist ab dem 1. August 2019 anzuwenden.</w:t>
      </w:r>
    </w:p>
    <w:p>
      <w:r>
        <w:rPr>
          <w:color w:val="555555"/>
          <w:sz w:val="17"/>
        </w:rPr>
        <w:t xml:space="preserve">Zitiervorschlag: § 4 TFGMV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https://recht.nulegal.eu/gesetze/TFGMV/4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